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3D" w:rsidRDefault="00045EBB" w:rsidP="00A6136C">
      <w:pPr>
        <w:spacing w:before="240" w:after="0"/>
        <w:rPr>
          <w:b/>
          <w:color w:val="7030A0"/>
          <w:sz w:val="24"/>
        </w:rPr>
      </w:pPr>
      <w:bookmarkStart w:id="0" w:name="_GoBack"/>
      <w:bookmarkEnd w:id="0"/>
      <w:r>
        <w:rPr>
          <w:b/>
          <w:color w:val="7030A0"/>
          <w:sz w:val="24"/>
        </w:rPr>
        <w:t>Aerobic Composting</w:t>
      </w:r>
    </w:p>
    <w:p w:rsidR="00A6136C" w:rsidRDefault="00A6136C" w:rsidP="00A6136C">
      <w:pPr>
        <w:spacing w:after="0"/>
        <w:rPr>
          <w:b/>
        </w:rPr>
      </w:pPr>
      <w:r>
        <w:rPr>
          <w:b/>
        </w:rPr>
        <w:t>Content Changes 2016-2018 Revision Guide</w:t>
      </w:r>
    </w:p>
    <w:p w:rsidR="007351FA" w:rsidRDefault="007351FA" w:rsidP="00A6136C">
      <w:pPr>
        <w:spacing w:after="0"/>
        <w:rPr>
          <w:b/>
          <w:i/>
        </w:rPr>
      </w:pPr>
      <w:r w:rsidRPr="007351FA">
        <w:rPr>
          <w:b/>
          <w:i/>
        </w:rPr>
        <w:t>All page numbers refer to the 2016-2018 Revision Guides</w:t>
      </w:r>
      <w:r>
        <w:rPr>
          <w:b/>
          <w:i/>
        </w:rPr>
        <w:t xml:space="preserve"> with red covers. </w:t>
      </w:r>
    </w:p>
    <w:p w:rsidR="007351FA" w:rsidRPr="007351FA" w:rsidRDefault="007351FA" w:rsidP="00A6136C">
      <w:pPr>
        <w:spacing w:after="0"/>
        <w:rPr>
          <w:b/>
          <w:i/>
        </w:rPr>
      </w:pPr>
    </w:p>
    <w:p w:rsidR="008A2290" w:rsidRDefault="008A2290" w:rsidP="008A2290">
      <w:pPr>
        <w:rPr>
          <w:i/>
          <w:color w:val="7030A0"/>
        </w:rPr>
      </w:pPr>
      <w:r>
        <w:rPr>
          <w:i/>
          <w:color w:val="7030A0"/>
        </w:rPr>
        <w:t xml:space="preserve">Section 1: </w:t>
      </w:r>
      <w:r w:rsidR="00E76096">
        <w:rPr>
          <w:i/>
          <w:color w:val="7030A0"/>
        </w:rPr>
        <w:t>Waste Reception and Rejection, page 17</w:t>
      </w:r>
    </w:p>
    <w:p w:rsidR="00A6136C" w:rsidRDefault="00E76096" w:rsidP="00045EBB">
      <w:r w:rsidRPr="00BC7B41">
        <w:rPr>
          <w:b/>
        </w:rPr>
        <w:t>New learning outcome added:</w:t>
      </w:r>
      <w:r>
        <w:t xml:space="preserve"> 1.5 Know the procedures for emergency waste acceptance.</w:t>
      </w:r>
    </w:p>
    <w:p w:rsidR="00E76096" w:rsidRDefault="00E76096" w:rsidP="00045EBB">
      <w:r>
        <w:t xml:space="preserve">Where facilities provide an emergency service, pre-acceptance procedures are not always possible. Under these circumstances, the operator should ensure all information regarding contracts/auditing is supplied, the regulator should be notified and the waste quarantined while suitability is assessed. </w:t>
      </w:r>
    </w:p>
    <w:p w:rsidR="00A64866" w:rsidRDefault="00A64866" w:rsidP="00A64866">
      <w:pPr>
        <w:rPr>
          <w:i/>
          <w:color w:val="7030A0"/>
        </w:rPr>
      </w:pPr>
      <w:r>
        <w:rPr>
          <w:i/>
          <w:color w:val="7030A0"/>
        </w:rPr>
        <w:t>Section 2: Contaminated Feedstocks, page 21</w:t>
      </w:r>
    </w:p>
    <w:p w:rsidR="00A64866" w:rsidRPr="00A64866" w:rsidRDefault="00A64866" w:rsidP="00A64866">
      <w:r>
        <w:t>The control of feedstock quality is a critical part of a successful process. It is important to maintain a consistent quality of the outputs without giving rise to pollution (e.g. odour).</w:t>
      </w:r>
    </w:p>
    <w:p w:rsidR="0001238C" w:rsidRDefault="0001238C" w:rsidP="0001238C">
      <w:pPr>
        <w:rPr>
          <w:i/>
          <w:color w:val="7030A0"/>
        </w:rPr>
      </w:pPr>
      <w:r>
        <w:rPr>
          <w:i/>
          <w:color w:val="7030A0"/>
        </w:rPr>
        <w:t>Section 3: Catering Waste, page 26</w:t>
      </w:r>
    </w:p>
    <w:p w:rsidR="0001238C" w:rsidRPr="0001238C" w:rsidRDefault="00BC7B41" w:rsidP="0001238C">
      <w:r>
        <w:t>The standard rules permit for composting in open systems states that permitted waste does not include any catering waste and other wastes containing animal by-products.</w:t>
      </w:r>
    </w:p>
    <w:p w:rsidR="00BC7B41" w:rsidRDefault="00BC7B41" w:rsidP="00BC7B41">
      <w:pPr>
        <w:rPr>
          <w:i/>
          <w:color w:val="7030A0"/>
        </w:rPr>
      </w:pPr>
      <w:r>
        <w:rPr>
          <w:i/>
          <w:color w:val="7030A0"/>
        </w:rPr>
        <w:t>Section 3: Hazard Analysis Critical Control Point Plan, page 28</w:t>
      </w:r>
    </w:p>
    <w:p w:rsidR="00BC7B41" w:rsidRDefault="00BC7B41" w:rsidP="00BC7B41">
      <w:r w:rsidRPr="00BC7B41">
        <w:rPr>
          <w:b/>
        </w:rPr>
        <w:t>New learning outcome added:</w:t>
      </w:r>
      <w:r>
        <w:t xml:space="preserve"> 3.4 Know what is required for sampling and testing of pathogens.</w:t>
      </w:r>
    </w:p>
    <w:p w:rsidR="00BC7B41" w:rsidRPr="00BC7B41" w:rsidRDefault="00BC7B41" w:rsidP="00BC7B41">
      <w:r>
        <w:t>During validation, samples of compost or digestate must be sent to laboratories for testing to check that treatment is removing bacteria. The samples must be stored and transported to the analytical laboratory at 5</w:t>
      </w:r>
      <w:r>
        <w:sym w:font="Symbol" w:char="F0B0"/>
      </w:r>
      <w:r>
        <w:t>C and 3</w:t>
      </w:r>
      <w:r>
        <w:sym w:font="Symbol" w:char="F0B0"/>
      </w:r>
      <w:r>
        <w:t>C for analysis, within 24 hours of sampling.</w:t>
      </w:r>
    </w:p>
    <w:p w:rsidR="00E76096" w:rsidRDefault="00BC7B41" w:rsidP="00BC7B41">
      <w:r w:rsidRPr="00BC7B41">
        <w:lastRenderedPageBreak/>
        <w:t xml:space="preserve">The testing must look for Salmonella and either </w:t>
      </w:r>
      <w:proofErr w:type="spellStart"/>
      <w:r w:rsidRPr="00BC7B41">
        <w:t>E.coli</w:t>
      </w:r>
      <w:proofErr w:type="spellEnd"/>
      <w:r w:rsidRPr="00BC7B41">
        <w:t xml:space="preserve"> or </w:t>
      </w:r>
      <w:proofErr w:type="spellStart"/>
      <w:r w:rsidRPr="00BC7B41">
        <w:t>Enterococcaceae</w:t>
      </w:r>
      <w:proofErr w:type="spellEnd"/>
      <w:r w:rsidRPr="00BC7B41">
        <w:t>. Samples must pass 12 consecutive tests for each bacteria before a site is validated and must keep the results for at least two years.</w:t>
      </w:r>
    </w:p>
    <w:p w:rsidR="00BA4C81" w:rsidRDefault="00BA4C81" w:rsidP="00BA4C81">
      <w:pPr>
        <w:rPr>
          <w:i/>
          <w:color w:val="7030A0"/>
        </w:rPr>
      </w:pPr>
      <w:r>
        <w:rPr>
          <w:i/>
          <w:color w:val="7030A0"/>
        </w:rPr>
        <w:t>Section 4: Producing and reducing odour, page 31</w:t>
      </w:r>
    </w:p>
    <w:p w:rsidR="00BA4C81" w:rsidRDefault="00BA4C81" w:rsidP="00BA4C81">
      <w:r w:rsidRPr="00BA4C81">
        <w:t xml:space="preserve">Minimising the storage periods of feedstocks can reduce the risk of odour problems. It is recommended that putrescible wastes are processed within 48 hours and other feedstocks are processed within 5 days. </w:t>
      </w:r>
    </w:p>
    <w:p w:rsidR="00BA4C81" w:rsidRPr="00BA4C81" w:rsidRDefault="00BA4C81" w:rsidP="00BA4C81">
      <w:r w:rsidRPr="00BA4C81">
        <w:t>Other methods of minimising odour include avoiding windy conditions, not stockpiling wastes, deep cleaning vessels</w:t>
      </w:r>
      <w:r w:rsidR="003650A0">
        <w:t xml:space="preserve"> and</w:t>
      </w:r>
      <w:r w:rsidRPr="00BA4C81">
        <w:t xml:space="preserve"> modular </w:t>
      </w:r>
      <w:proofErr w:type="spellStart"/>
      <w:r w:rsidRPr="00BA4C81">
        <w:t>biofilters</w:t>
      </w:r>
      <w:proofErr w:type="spellEnd"/>
      <w:r w:rsidRPr="00BA4C81">
        <w:t xml:space="preserve"> etc.</w:t>
      </w:r>
    </w:p>
    <w:p w:rsidR="00BA4C81" w:rsidRDefault="00BA4C81" w:rsidP="00BA4C81">
      <w:pPr>
        <w:rPr>
          <w:i/>
          <w:color w:val="7030A0"/>
        </w:rPr>
      </w:pPr>
      <w:r>
        <w:rPr>
          <w:i/>
          <w:color w:val="7030A0"/>
        </w:rPr>
        <w:t>Section 4: Methods, page 32</w:t>
      </w:r>
    </w:p>
    <w:p w:rsidR="00BA4C81" w:rsidRDefault="00BA4C81" w:rsidP="00BA4C81">
      <w:pPr>
        <w:spacing w:line="240" w:lineRule="auto"/>
      </w:pPr>
      <w:r>
        <w:t>For sites with on-going odour problems, it may be beneficial to recruit individuals in the community to undertake periodic offsite odour surveys or to keep odour diaries.</w:t>
      </w:r>
    </w:p>
    <w:p w:rsidR="00BA4C81" w:rsidRPr="000E1F92" w:rsidRDefault="00BA4C81" w:rsidP="00BA4C81">
      <w:pPr>
        <w:spacing w:line="240" w:lineRule="auto"/>
      </w:pPr>
      <w:r>
        <w:t>The diary should include times and dates, location, temperature, wind strength, wind direction, intensity, duration etc. when they detect smells to start building up a pattern of odour problems over time which may be associated with other factors e.g. wind direction.</w:t>
      </w:r>
    </w:p>
    <w:p w:rsidR="00BA4C81" w:rsidRDefault="00BA4C81" w:rsidP="00BA4C81">
      <w:pPr>
        <w:rPr>
          <w:i/>
          <w:color w:val="7030A0"/>
        </w:rPr>
      </w:pPr>
      <w:r>
        <w:rPr>
          <w:i/>
          <w:color w:val="7030A0"/>
        </w:rPr>
        <w:t>Section 4: Odour Management Plans, page 34</w:t>
      </w:r>
    </w:p>
    <w:p w:rsidR="00BA4C81" w:rsidRPr="00BA4C81" w:rsidRDefault="00BA4C81" w:rsidP="00A64866">
      <w:pPr>
        <w:spacing w:line="240" w:lineRule="auto"/>
      </w:pPr>
      <w:r>
        <w:t>The effectiveness of odour control measures should be reviewed once a year (unless th</w:t>
      </w:r>
      <w:r w:rsidR="00A64866">
        <w:t xml:space="preserve">ere are complaints or changes). </w:t>
      </w:r>
      <w:r w:rsidRPr="00BA4C81">
        <w:t>If the regulator considers an odour management plan to be deficient:</w:t>
      </w:r>
    </w:p>
    <w:p w:rsidR="00BA4C81" w:rsidRPr="00BA4C81" w:rsidRDefault="00BA4C81" w:rsidP="00BA4C81">
      <w:pPr>
        <w:pStyle w:val="ListParagraph"/>
        <w:numPr>
          <w:ilvl w:val="0"/>
          <w:numId w:val="5"/>
        </w:numPr>
      </w:pPr>
      <w:r w:rsidRPr="00BA4C81">
        <w:t>It may be approved subject to additional requirements.</w:t>
      </w:r>
    </w:p>
    <w:p w:rsidR="00BA4C81" w:rsidRPr="00BA4C81" w:rsidRDefault="00BA4C81" w:rsidP="00BA4C81">
      <w:pPr>
        <w:pStyle w:val="ListParagraph"/>
        <w:numPr>
          <w:ilvl w:val="0"/>
          <w:numId w:val="5"/>
        </w:numPr>
      </w:pPr>
      <w:r w:rsidRPr="00BA4C81">
        <w:t>It may be approved and accompanied by a letter noting its deficiencies.</w:t>
      </w:r>
    </w:p>
    <w:p w:rsidR="00BA4C81" w:rsidRDefault="00BA4C81" w:rsidP="00BA4C81">
      <w:pPr>
        <w:pStyle w:val="ListParagraph"/>
        <w:numPr>
          <w:ilvl w:val="0"/>
          <w:numId w:val="5"/>
        </w:numPr>
      </w:pPr>
      <w:r w:rsidRPr="00BA4C81">
        <w:t>A requirement may be imposed on the operator.</w:t>
      </w:r>
    </w:p>
    <w:p w:rsidR="00BA4C81" w:rsidRDefault="00BA4C81" w:rsidP="00BA4C81"/>
    <w:p w:rsidR="00BA4C81" w:rsidRDefault="00BA4C81" w:rsidP="00BA4C81">
      <w:pPr>
        <w:rPr>
          <w:i/>
          <w:color w:val="7030A0"/>
        </w:rPr>
      </w:pPr>
      <w:r>
        <w:rPr>
          <w:i/>
          <w:color w:val="7030A0"/>
        </w:rPr>
        <w:t>Section 5: Risk Assessment and Control Methods, page 38</w:t>
      </w:r>
    </w:p>
    <w:p w:rsidR="00BA4C81" w:rsidRDefault="00BA4C81" w:rsidP="00BA4C81">
      <w:r>
        <w:t>Bioaerosols consist of airborne particles that contain living organisms (e.g. bacteria, fungi, viruses or parts of living organisms).</w:t>
      </w:r>
    </w:p>
    <w:p w:rsidR="00BA4C81" w:rsidRDefault="00BA4C81" w:rsidP="00BA4C81">
      <w:r>
        <w:t>One of the factors affecting bioaerosol generation is moisture. Without sufficient moisture (less than 40%) there is an increased chance of bioaerosol and dust generation.</w:t>
      </w:r>
    </w:p>
    <w:p w:rsidR="00BA4C81" w:rsidRPr="00BA4C81" w:rsidRDefault="00BA4C81" w:rsidP="00BA4C81">
      <w:r w:rsidRPr="00BA4C81">
        <w:t>If a facility is within 250m of a sensitive receptor, an operator must monitor bioaerosols and carry out specific bioaerosol risk assessment. Sampling locations should be downwind of the site to ensure that measurements are made in the emission plume.</w:t>
      </w:r>
    </w:p>
    <w:p w:rsidR="004252F6" w:rsidRDefault="004252F6" w:rsidP="004252F6">
      <w:pPr>
        <w:rPr>
          <w:i/>
          <w:color w:val="7030A0"/>
        </w:rPr>
      </w:pPr>
      <w:r>
        <w:rPr>
          <w:i/>
          <w:color w:val="7030A0"/>
        </w:rPr>
        <w:t>Section 5: Consequences of Exposure, page 39</w:t>
      </w:r>
    </w:p>
    <w:p w:rsidR="004252F6" w:rsidRPr="000E1F92" w:rsidRDefault="004252F6" w:rsidP="004252F6">
      <w:r>
        <w:t>Bioaerosols have been also known to cause gastrointestinal illness, eye irritation, inflammation of the respiratory system, coughs, fever and dermatitis.</w:t>
      </w:r>
    </w:p>
    <w:p w:rsidR="00BA4C81" w:rsidRPr="004252F6" w:rsidRDefault="004252F6" w:rsidP="00BA4C81">
      <w:pPr>
        <w:rPr>
          <w:i/>
          <w:color w:val="7030A0"/>
        </w:rPr>
      </w:pPr>
      <w:r w:rsidRPr="00BC7B41">
        <w:rPr>
          <w:b/>
        </w:rPr>
        <w:t>New learning outcome added:</w:t>
      </w:r>
      <w:r>
        <w:rPr>
          <w:b/>
        </w:rPr>
        <w:t xml:space="preserve"> </w:t>
      </w:r>
      <w:r>
        <w:t>5.7 Know what information should be received in a bioaerosol monitoring report.</w:t>
      </w:r>
    </w:p>
    <w:p w:rsidR="0001238C" w:rsidRPr="004252F6" w:rsidRDefault="004252F6" w:rsidP="004252F6">
      <w:r w:rsidRPr="004252F6">
        <w:t>A bioaerosol report should contain:</w:t>
      </w:r>
    </w:p>
    <w:p w:rsidR="004252F6" w:rsidRPr="004252F6" w:rsidRDefault="004252F6" w:rsidP="004252F6">
      <w:pPr>
        <w:pStyle w:val="ListParagraph"/>
        <w:numPr>
          <w:ilvl w:val="0"/>
          <w:numId w:val="6"/>
        </w:numPr>
      </w:pPr>
      <w:r w:rsidRPr="004252F6">
        <w:t>Monitoring organisation and personnel.</w:t>
      </w:r>
    </w:p>
    <w:p w:rsidR="00BA4C81" w:rsidRPr="004252F6" w:rsidRDefault="004252F6" w:rsidP="004252F6">
      <w:pPr>
        <w:pStyle w:val="ListParagraph"/>
        <w:numPr>
          <w:ilvl w:val="0"/>
          <w:numId w:val="6"/>
        </w:numPr>
      </w:pPr>
      <w:r w:rsidRPr="004252F6">
        <w:t>Details of the commissioning laboratory.</w:t>
      </w:r>
    </w:p>
    <w:p w:rsidR="004252F6" w:rsidRPr="004252F6" w:rsidRDefault="004252F6" w:rsidP="004252F6">
      <w:pPr>
        <w:pStyle w:val="ListParagraph"/>
        <w:numPr>
          <w:ilvl w:val="0"/>
          <w:numId w:val="6"/>
        </w:numPr>
      </w:pPr>
      <w:r w:rsidRPr="004252F6">
        <w:t>Site name and description.</w:t>
      </w:r>
    </w:p>
    <w:p w:rsidR="004252F6" w:rsidRPr="004252F6" w:rsidRDefault="004252F6" w:rsidP="004252F6">
      <w:pPr>
        <w:pStyle w:val="ListParagraph"/>
        <w:numPr>
          <w:ilvl w:val="0"/>
          <w:numId w:val="6"/>
        </w:numPr>
      </w:pPr>
      <w:r w:rsidRPr="004252F6">
        <w:t>Reasons for monitoring.</w:t>
      </w:r>
    </w:p>
    <w:p w:rsidR="004252F6" w:rsidRPr="004252F6" w:rsidRDefault="004252F6" w:rsidP="004252F6">
      <w:pPr>
        <w:pStyle w:val="ListParagraph"/>
        <w:numPr>
          <w:ilvl w:val="0"/>
          <w:numId w:val="6"/>
        </w:numPr>
      </w:pPr>
      <w:r w:rsidRPr="004252F6">
        <w:t>Dates of monitoring visits.</w:t>
      </w:r>
    </w:p>
    <w:p w:rsidR="004252F6" w:rsidRPr="004252F6" w:rsidRDefault="004252F6" w:rsidP="004252F6">
      <w:pPr>
        <w:pStyle w:val="ListParagraph"/>
        <w:numPr>
          <w:ilvl w:val="0"/>
          <w:numId w:val="6"/>
        </w:numPr>
      </w:pPr>
      <w:r w:rsidRPr="004252F6">
        <w:t>Sampling approach used.</w:t>
      </w:r>
    </w:p>
    <w:p w:rsidR="004252F6" w:rsidRPr="004252F6" w:rsidRDefault="004252F6" w:rsidP="004252F6">
      <w:pPr>
        <w:pStyle w:val="ListParagraph"/>
        <w:numPr>
          <w:ilvl w:val="0"/>
          <w:numId w:val="6"/>
        </w:numPr>
      </w:pPr>
      <w:r w:rsidRPr="004252F6">
        <w:t>Any deviations from sampling approach.</w:t>
      </w:r>
    </w:p>
    <w:p w:rsidR="004252F6" w:rsidRPr="004252F6" w:rsidRDefault="004252F6" w:rsidP="004252F6">
      <w:pPr>
        <w:pStyle w:val="ListParagraph"/>
        <w:numPr>
          <w:ilvl w:val="0"/>
          <w:numId w:val="6"/>
        </w:numPr>
      </w:pPr>
      <w:r w:rsidRPr="004252F6">
        <w:t>Any other relevant information.</w:t>
      </w:r>
    </w:p>
    <w:p w:rsidR="004252F6" w:rsidRPr="004252F6" w:rsidRDefault="004252F6" w:rsidP="00045EBB">
      <w:r w:rsidRPr="004252F6">
        <w:t>The monitoring report should also include a map of the site with labelled features (e.g. site boundary, emission sources, activities outside operations that may influence results etc.)</w:t>
      </w:r>
      <w:r w:rsidR="009740CB">
        <w:t>.</w:t>
      </w:r>
    </w:p>
    <w:p w:rsidR="004252F6" w:rsidRDefault="004252F6" w:rsidP="00045EBB"/>
    <w:p w:rsidR="004252F6" w:rsidRDefault="004252F6" w:rsidP="004252F6">
      <w:pPr>
        <w:rPr>
          <w:i/>
          <w:color w:val="7030A0"/>
        </w:rPr>
      </w:pPr>
      <w:r>
        <w:rPr>
          <w:i/>
          <w:color w:val="7030A0"/>
        </w:rPr>
        <w:t>Section 6: Products and Regimes, page 42</w:t>
      </w:r>
    </w:p>
    <w:p w:rsidR="004252F6" w:rsidRDefault="004252F6" w:rsidP="00045EBB">
      <w:r>
        <w:rPr>
          <w:b/>
        </w:rPr>
        <w:t xml:space="preserve">Sanitisation </w:t>
      </w:r>
      <w:r>
        <w:t>is the biological processes used to eradicate human and animal pathogens from compost or reduce them to acceptable levels through increased temperatures (above 55</w:t>
      </w:r>
      <w:r>
        <w:sym w:font="Symbol" w:char="F0B0"/>
      </w:r>
      <w:r>
        <w:t>C).</w:t>
      </w:r>
    </w:p>
    <w:p w:rsidR="00AF66EC" w:rsidRDefault="00AF66EC" w:rsidP="00AF66EC">
      <w:pPr>
        <w:rPr>
          <w:i/>
          <w:color w:val="7030A0"/>
        </w:rPr>
      </w:pPr>
      <w:r>
        <w:rPr>
          <w:i/>
          <w:color w:val="7030A0"/>
        </w:rPr>
        <w:t>Section 6: PAS 100: Quality Protocol and Outputs, page 44</w:t>
      </w:r>
    </w:p>
    <w:p w:rsidR="00AF66EC" w:rsidRDefault="00AF66EC" w:rsidP="00AF66EC">
      <w:pPr>
        <w:rPr>
          <w:i/>
          <w:color w:val="7030A0"/>
        </w:rPr>
      </w:pPr>
      <w:r>
        <w:t xml:space="preserve">As a minimum, operators must keep a record of each load delivered to site </w:t>
      </w:r>
      <w:r w:rsidR="00CA2673">
        <w:t xml:space="preserve">which </w:t>
      </w:r>
      <w:r>
        <w:t>includ</w:t>
      </w:r>
      <w:r w:rsidR="00CA2673">
        <w:t>es</w:t>
      </w:r>
      <w:r>
        <w:t xml:space="preserve"> date, EWC code, description, place of origin, quantity, carrier and supplier.</w:t>
      </w:r>
    </w:p>
    <w:p w:rsidR="00AF66EC" w:rsidRDefault="00AF66EC" w:rsidP="00AF66EC">
      <w:pPr>
        <w:rPr>
          <w:i/>
          <w:color w:val="7030A0"/>
        </w:rPr>
      </w:pPr>
      <w:r>
        <w:rPr>
          <w:i/>
          <w:color w:val="7030A0"/>
        </w:rPr>
        <w:t>Section 7: Moisture and Temperature, page 50</w:t>
      </w:r>
    </w:p>
    <w:p w:rsidR="00AF66EC" w:rsidRDefault="00AF66EC" w:rsidP="00AF66EC">
      <w:pPr>
        <w:rPr>
          <w:i/>
          <w:color w:val="7030A0"/>
        </w:rPr>
      </w:pPr>
      <w:r>
        <w:t>If a pile is too moist, there is insufficient aeration for heat removal and the pile could overheat to temperatures greater than 70</w:t>
      </w:r>
      <w:r>
        <w:sym w:font="Symbol" w:char="F0B0"/>
      </w:r>
      <w:r>
        <w:t>C.</w:t>
      </w:r>
    </w:p>
    <w:p w:rsidR="00B12141" w:rsidRDefault="00B12141" w:rsidP="004B17D1">
      <w:pPr>
        <w:rPr>
          <w:i/>
          <w:color w:val="7030A0"/>
        </w:rPr>
      </w:pPr>
    </w:p>
    <w:p w:rsidR="00B12141" w:rsidRDefault="00B12141" w:rsidP="004B17D1">
      <w:pPr>
        <w:rPr>
          <w:i/>
          <w:color w:val="7030A0"/>
        </w:rPr>
      </w:pPr>
    </w:p>
    <w:p w:rsidR="00B12141" w:rsidRDefault="00B12141" w:rsidP="004B17D1">
      <w:pPr>
        <w:rPr>
          <w:i/>
          <w:color w:val="7030A0"/>
        </w:rPr>
      </w:pPr>
      <w:r>
        <w:rPr>
          <w:noProof/>
          <w:lang w:eastAsia="en-GB"/>
        </w:rPr>
        <w:drawing>
          <wp:anchor distT="0" distB="0" distL="114300" distR="114300" simplePos="0" relativeHeight="251661312" behindDoc="1" locked="0" layoutInCell="1" allowOverlap="1" wp14:anchorId="3D922096" wp14:editId="29F8E187">
            <wp:simplePos x="0" y="0"/>
            <wp:positionH relativeFrom="column">
              <wp:posOffset>8255</wp:posOffset>
            </wp:positionH>
            <wp:positionV relativeFrom="paragraph">
              <wp:posOffset>205105</wp:posOffset>
            </wp:positionV>
            <wp:extent cx="2448560" cy="3471545"/>
            <wp:effectExtent l="0" t="0" r="8890" b="0"/>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Sapling Small.jpg"/>
                    <pic:cNvPicPr/>
                  </pic:nvPicPr>
                  <pic:blipFill>
                    <a:blip r:embed="rId9">
                      <a:extLst>
                        <a:ext uri="{28A0092B-C50C-407E-A947-70E740481C1C}">
                          <a14:useLocalDpi xmlns:a14="http://schemas.microsoft.com/office/drawing/2010/main" val="0"/>
                        </a:ext>
                      </a:extLst>
                    </a:blip>
                    <a:stretch>
                      <a:fillRect/>
                    </a:stretch>
                  </pic:blipFill>
                  <pic:spPr>
                    <a:xfrm>
                      <a:off x="0" y="0"/>
                      <a:ext cx="2448560" cy="3471545"/>
                    </a:xfrm>
                    <a:prstGeom prst="rect">
                      <a:avLst/>
                    </a:prstGeom>
                  </pic:spPr>
                </pic:pic>
              </a:graphicData>
            </a:graphic>
            <wp14:sizeRelH relativeFrom="page">
              <wp14:pctWidth>0</wp14:pctWidth>
            </wp14:sizeRelH>
            <wp14:sizeRelV relativeFrom="page">
              <wp14:pctHeight>0</wp14:pctHeight>
            </wp14:sizeRelV>
          </wp:anchor>
        </w:drawing>
      </w:r>
    </w:p>
    <w:p w:rsidR="00B12141" w:rsidRDefault="00B12141" w:rsidP="004B17D1">
      <w:pPr>
        <w:rPr>
          <w:i/>
          <w:color w:val="7030A0"/>
        </w:rPr>
      </w:pPr>
    </w:p>
    <w:p w:rsidR="00B12141" w:rsidRDefault="00B12141" w:rsidP="004B17D1">
      <w:pPr>
        <w:rPr>
          <w:i/>
          <w:color w:val="7030A0"/>
        </w:rPr>
      </w:pPr>
    </w:p>
    <w:p w:rsidR="00B12141" w:rsidRDefault="00B12141" w:rsidP="004B17D1">
      <w:pPr>
        <w:rPr>
          <w:i/>
          <w:color w:val="7030A0"/>
        </w:rPr>
      </w:pPr>
    </w:p>
    <w:p w:rsidR="00B12141" w:rsidRDefault="00B12141" w:rsidP="004B17D1">
      <w:pPr>
        <w:rPr>
          <w:i/>
          <w:color w:val="7030A0"/>
        </w:rPr>
      </w:pPr>
    </w:p>
    <w:p w:rsidR="00B12141" w:rsidRDefault="00B12141" w:rsidP="004B17D1">
      <w:pPr>
        <w:rPr>
          <w:i/>
          <w:color w:val="7030A0"/>
        </w:rPr>
      </w:pPr>
    </w:p>
    <w:p w:rsidR="00B12141" w:rsidRDefault="00B12141" w:rsidP="004B17D1">
      <w:pPr>
        <w:rPr>
          <w:i/>
          <w:color w:val="7030A0"/>
        </w:rPr>
      </w:pPr>
    </w:p>
    <w:p w:rsidR="00B12141" w:rsidRDefault="00B12141" w:rsidP="004B17D1">
      <w:pPr>
        <w:rPr>
          <w:i/>
          <w:color w:val="7030A0"/>
        </w:rPr>
      </w:pPr>
    </w:p>
    <w:p w:rsidR="00B12141" w:rsidRDefault="00B12141" w:rsidP="004B17D1">
      <w:pPr>
        <w:rPr>
          <w:i/>
          <w:color w:val="7030A0"/>
        </w:rPr>
      </w:pPr>
    </w:p>
    <w:p w:rsidR="00B12141" w:rsidRDefault="00B12141" w:rsidP="004B17D1">
      <w:pPr>
        <w:rPr>
          <w:i/>
          <w:color w:val="7030A0"/>
        </w:rPr>
      </w:pPr>
    </w:p>
    <w:p w:rsidR="00B12141" w:rsidRDefault="00B12141" w:rsidP="004B17D1">
      <w:pPr>
        <w:rPr>
          <w:i/>
          <w:color w:val="7030A0"/>
        </w:rPr>
      </w:pPr>
    </w:p>
    <w:p w:rsidR="00B12141" w:rsidRDefault="00B12141" w:rsidP="004B17D1">
      <w:pPr>
        <w:rPr>
          <w:i/>
          <w:color w:val="7030A0"/>
        </w:rPr>
      </w:pPr>
    </w:p>
    <w:p w:rsidR="00B12141" w:rsidRDefault="00B12141" w:rsidP="00804525">
      <w:pPr>
        <w:spacing w:after="0"/>
        <w:rPr>
          <w:i/>
          <w:color w:val="7030A0"/>
        </w:rPr>
      </w:pPr>
    </w:p>
    <w:p w:rsidR="004B17D1" w:rsidRDefault="004B17D1" w:rsidP="004B17D1">
      <w:pPr>
        <w:rPr>
          <w:i/>
          <w:color w:val="7030A0"/>
        </w:rPr>
      </w:pPr>
      <w:r>
        <w:rPr>
          <w:i/>
          <w:color w:val="7030A0"/>
        </w:rPr>
        <w:t>Section 8: Fires, page 55</w:t>
      </w:r>
    </w:p>
    <w:p w:rsidR="004B17D1" w:rsidRPr="000E1F92" w:rsidRDefault="004B17D1" w:rsidP="004B17D1">
      <w:r>
        <w:t>To prevent and manage this risk, operators should undertake monitoring activities to control composting temperatures, moisture levels and maintain aerobic conditions. For example, ventilating air through compost to control temperature and maintain aerobic conditions.</w:t>
      </w:r>
    </w:p>
    <w:p w:rsidR="004B17D1" w:rsidRDefault="004B17D1" w:rsidP="004B17D1">
      <w:pPr>
        <w:rPr>
          <w:i/>
          <w:color w:val="7030A0"/>
        </w:rPr>
      </w:pPr>
      <w:r>
        <w:rPr>
          <w:i/>
          <w:color w:val="7030A0"/>
        </w:rPr>
        <w:t>Section 8: Noise and Dust, page 57</w:t>
      </w:r>
    </w:p>
    <w:p w:rsidR="004B17D1" w:rsidRDefault="004B17D1" w:rsidP="004B17D1">
      <w:pPr>
        <w:rPr>
          <w:i/>
          <w:color w:val="7030A0"/>
        </w:rPr>
      </w:pPr>
      <w:r>
        <w:rPr>
          <w:szCs w:val="16"/>
        </w:rPr>
        <w:t>Dust emissions may arise from composting activity or vehicle movements associated with the process when moisture content is lower than 30%.</w:t>
      </w:r>
    </w:p>
    <w:p w:rsidR="004B17D1" w:rsidRDefault="004B17D1" w:rsidP="004B17D1">
      <w:pPr>
        <w:rPr>
          <w:i/>
          <w:color w:val="7030A0"/>
        </w:rPr>
      </w:pPr>
      <w:r>
        <w:rPr>
          <w:i/>
          <w:color w:val="7030A0"/>
        </w:rPr>
        <w:t>Section 8: Controlling Leachate, Surface, Sewer and Groundwater, page 58</w:t>
      </w:r>
    </w:p>
    <w:p w:rsidR="004B17D1" w:rsidRDefault="004B17D1" w:rsidP="004B17D1">
      <w:r>
        <w:t>A site plan must show the foul and combined drainage facilities marked in red, while surface water drainage facil</w:t>
      </w:r>
      <w:r w:rsidR="00B12141">
        <w:t>ities should be marked in blue.</w:t>
      </w:r>
    </w:p>
    <w:p w:rsidR="004B17D1" w:rsidRPr="004B17D1" w:rsidRDefault="004B17D1" w:rsidP="004B17D1">
      <w:r w:rsidRPr="004B17D1">
        <w:t>Contamination of surface water, sewer and groundwater can occur when material is poorly handled, when the operator overfills/overstocks feedstocks and/or when equipment fails.</w:t>
      </w:r>
    </w:p>
    <w:p w:rsidR="004B17D1" w:rsidRDefault="004B17D1" w:rsidP="004B17D1">
      <w:pPr>
        <w:rPr>
          <w:i/>
          <w:color w:val="7030A0"/>
        </w:rPr>
      </w:pPr>
      <w:r>
        <w:rPr>
          <w:i/>
          <w:color w:val="7030A0"/>
        </w:rPr>
        <w:t>Section 9: Accident Management Plan, page 61</w:t>
      </w:r>
    </w:p>
    <w:p w:rsidR="004B17D1" w:rsidRPr="004B17D1" w:rsidRDefault="004B17D1" w:rsidP="004B17D1">
      <w:r w:rsidRPr="004B17D1">
        <w:t>An accident management plan should consider:</w:t>
      </w:r>
    </w:p>
    <w:p w:rsidR="004252F6" w:rsidRPr="004B17D1" w:rsidRDefault="004B17D1" w:rsidP="004B17D1">
      <w:pPr>
        <w:pStyle w:val="ListParagraph"/>
        <w:numPr>
          <w:ilvl w:val="0"/>
          <w:numId w:val="9"/>
        </w:numPr>
      </w:pPr>
      <w:r w:rsidRPr="004B17D1">
        <w:t>Storage areas.</w:t>
      </w:r>
    </w:p>
    <w:p w:rsidR="004B17D1" w:rsidRPr="004B17D1" w:rsidRDefault="004B17D1" w:rsidP="004B17D1">
      <w:pPr>
        <w:pStyle w:val="ListParagraph"/>
        <w:numPr>
          <w:ilvl w:val="0"/>
          <w:numId w:val="9"/>
        </w:numPr>
      </w:pPr>
      <w:r w:rsidRPr="004B17D1">
        <w:t>Arrangements for receiving and checking incoming waste.</w:t>
      </w:r>
    </w:p>
    <w:p w:rsidR="004B17D1" w:rsidRPr="004B17D1" w:rsidRDefault="004B17D1" w:rsidP="004B17D1">
      <w:pPr>
        <w:pStyle w:val="ListParagraph"/>
        <w:numPr>
          <w:ilvl w:val="0"/>
          <w:numId w:val="9"/>
        </w:numPr>
      </w:pPr>
      <w:r w:rsidRPr="004B17D1">
        <w:t>Procedures for transfer.</w:t>
      </w:r>
    </w:p>
    <w:p w:rsidR="004B17D1" w:rsidRPr="004B17D1" w:rsidRDefault="004B17D1" w:rsidP="004B17D1">
      <w:pPr>
        <w:pStyle w:val="ListParagraph"/>
        <w:numPr>
          <w:ilvl w:val="0"/>
          <w:numId w:val="9"/>
        </w:numPr>
      </w:pPr>
      <w:r w:rsidRPr="004B17D1">
        <w:t>Emissions from plant and equipment.</w:t>
      </w:r>
    </w:p>
    <w:p w:rsidR="004B17D1" w:rsidRDefault="004B17D1" w:rsidP="004B17D1">
      <w:pPr>
        <w:pStyle w:val="ListParagraph"/>
        <w:numPr>
          <w:ilvl w:val="0"/>
          <w:numId w:val="9"/>
        </w:numPr>
      </w:pPr>
      <w:r w:rsidRPr="004B17D1">
        <w:t>Failure of containment.</w:t>
      </w:r>
    </w:p>
    <w:p w:rsidR="00B12141" w:rsidRDefault="00B12141" w:rsidP="00B12141"/>
    <w:p w:rsidR="00B12141" w:rsidRDefault="00B12141" w:rsidP="00B12141"/>
    <w:p w:rsidR="00B12141" w:rsidRDefault="00B12141" w:rsidP="00804525">
      <w:pPr>
        <w:spacing w:after="0" w:line="240" w:lineRule="auto"/>
      </w:pPr>
    </w:p>
    <w:p w:rsidR="004252F6" w:rsidRDefault="00B12141" w:rsidP="00804525">
      <w:pPr>
        <w:spacing w:line="240" w:lineRule="auto"/>
        <w:rPr>
          <w:i/>
          <w:color w:val="7030A0"/>
        </w:rPr>
      </w:pPr>
      <w:r>
        <w:rPr>
          <w:i/>
          <w:color w:val="7030A0"/>
        </w:rPr>
        <w:t>Learning Outcome Amendments</w:t>
      </w:r>
    </w:p>
    <w:p w:rsidR="00B12141" w:rsidRDefault="00B12141" w:rsidP="00804525">
      <w:pPr>
        <w:spacing w:after="0" w:line="240" w:lineRule="auto"/>
      </w:pPr>
      <w:r>
        <w:t>The wording for the following learning outcomes have been amended:</w:t>
      </w:r>
    </w:p>
    <w:p w:rsidR="00B12141" w:rsidRPr="00B12141" w:rsidRDefault="00B12141" w:rsidP="00804525">
      <w:pPr>
        <w:pStyle w:val="ListParagraph"/>
        <w:numPr>
          <w:ilvl w:val="0"/>
          <w:numId w:val="10"/>
        </w:numPr>
        <w:spacing w:line="240" w:lineRule="auto"/>
      </w:pPr>
      <w:r w:rsidRPr="00B12141">
        <w:rPr>
          <w:rFonts w:cs="Arial"/>
          <w:sz w:val="20"/>
          <w:szCs w:val="20"/>
        </w:rPr>
        <w:t>1.2 Know the acceptance procedures for waste that arrives at the aerobic composting facility including identification of contamination.</w:t>
      </w:r>
    </w:p>
    <w:p w:rsidR="00B12141" w:rsidRPr="00B12141" w:rsidRDefault="00B12141" w:rsidP="00804525">
      <w:pPr>
        <w:pStyle w:val="ListParagraph"/>
        <w:numPr>
          <w:ilvl w:val="0"/>
          <w:numId w:val="10"/>
        </w:numPr>
        <w:spacing w:line="240" w:lineRule="auto"/>
        <w:rPr>
          <w:sz w:val="20"/>
        </w:rPr>
      </w:pPr>
      <w:r w:rsidRPr="00B12141">
        <w:rPr>
          <w:sz w:val="20"/>
        </w:rPr>
        <w:t xml:space="preserve">2.1 Know the characteristics that should be tested as part of a detailed feedstock characterisation as specified as Best Available Techniques (BAT). </w:t>
      </w:r>
    </w:p>
    <w:p w:rsidR="00B12141" w:rsidRDefault="00B12141" w:rsidP="00804525">
      <w:pPr>
        <w:pStyle w:val="ListParagraph"/>
        <w:numPr>
          <w:ilvl w:val="0"/>
          <w:numId w:val="10"/>
        </w:numPr>
        <w:spacing w:line="240" w:lineRule="auto"/>
      </w:pPr>
      <w:r w:rsidRPr="00B12141">
        <w:rPr>
          <w:rFonts w:cs="Arial"/>
          <w:sz w:val="20"/>
          <w:szCs w:val="20"/>
        </w:rPr>
        <w:t>3.2 Know the requirements for record keeping regarding Animal By-Products Regulations relating to food waste/catering waste delivered to the site.</w:t>
      </w:r>
    </w:p>
    <w:p w:rsidR="00B12141" w:rsidRPr="00B12141" w:rsidRDefault="00B12141" w:rsidP="00804525">
      <w:pPr>
        <w:pStyle w:val="ListParagraph"/>
        <w:numPr>
          <w:ilvl w:val="0"/>
          <w:numId w:val="10"/>
        </w:numPr>
        <w:spacing w:line="240" w:lineRule="auto"/>
        <w:rPr>
          <w:sz w:val="20"/>
        </w:rPr>
      </w:pPr>
      <w:r w:rsidRPr="00B12141">
        <w:rPr>
          <w:sz w:val="20"/>
        </w:rPr>
        <w:t>4.5 Know the limitations of using sniff testing for monitoring odours.</w:t>
      </w:r>
    </w:p>
    <w:p w:rsidR="00B12141" w:rsidRPr="00B12141" w:rsidRDefault="00B12141" w:rsidP="00804525">
      <w:pPr>
        <w:pStyle w:val="ListParagraph"/>
        <w:numPr>
          <w:ilvl w:val="0"/>
          <w:numId w:val="10"/>
        </w:numPr>
        <w:spacing w:line="240" w:lineRule="auto"/>
        <w:rPr>
          <w:sz w:val="20"/>
        </w:rPr>
      </w:pPr>
      <w:r w:rsidRPr="00B12141">
        <w:rPr>
          <w:sz w:val="20"/>
        </w:rPr>
        <w:t>4.6 Know the information required in an odour management plan and why it is necessary.</w:t>
      </w:r>
    </w:p>
    <w:p w:rsidR="00B12141" w:rsidRPr="00B12141" w:rsidRDefault="00B12141" w:rsidP="00804525">
      <w:pPr>
        <w:pStyle w:val="ListParagraph"/>
        <w:numPr>
          <w:ilvl w:val="0"/>
          <w:numId w:val="10"/>
        </w:numPr>
        <w:spacing w:line="240" w:lineRule="auto"/>
        <w:rPr>
          <w:sz w:val="20"/>
        </w:rPr>
      </w:pPr>
      <w:r w:rsidRPr="00B12141">
        <w:rPr>
          <w:sz w:val="20"/>
        </w:rPr>
        <w:t xml:space="preserve">4.7 Know how to ensure a </w:t>
      </w:r>
      <w:proofErr w:type="spellStart"/>
      <w:r w:rsidRPr="00B12141">
        <w:rPr>
          <w:sz w:val="20"/>
        </w:rPr>
        <w:t>biofilter</w:t>
      </w:r>
      <w:proofErr w:type="spellEnd"/>
      <w:r w:rsidRPr="00B12141">
        <w:rPr>
          <w:sz w:val="20"/>
        </w:rPr>
        <w:t xml:space="preserve"> is appropriately designed to meet the need of an aerobic treatment facility.</w:t>
      </w:r>
    </w:p>
    <w:p w:rsidR="00B12141" w:rsidRPr="00B12141" w:rsidRDefault="00B12141" w:rsidP="00804525">
      <w:pPr>
        <w:pStyle w:val="ListParagraph"/>
        <w:numPr>
          <w:ilvl w:val="0"/>
          <w:numId w:val="10"/>
        </w:numPr>
        <w:spacing w:line="240" w:lineRule="auto"/>
        <w:rPr>
          <w:sz w:val="20"/>
        </w:rPr>
      </w:pPr>
      <w:r w:rsidRPr="00B12141">
        <w:rPr>
          <w:sz w:val="20"/>
        </w:rPr>
        <w:t xml:space="preserve">4.8 Know the optimal operating conditions for </w:t>
      </w:r>
      <w:proofErr w:type="spellStart"/>
      <w:r w:rsidRPr="00B12141">
        <w:rPr>
          <w:sz w:val="20"/>
        </w:rPr>
        <w:t>biofilters</w:t>
      </w:r>
      <w:proofErr w:type="spellEnd"/>
      <w:r w:rsidRPr="00B12141">
        <w:rPr>
          <w:sz w:val="20"/>
        </w:rPr>
        <w:t xml:space="preserve"> and how these can be designed/maintained.</w:t>
      </w:r>
    </w:p>
    <w:p w:rsidR="00B12141" w:rsidRDefault="00B12141" w:rsidP="00804525">
      <w:pPr>
        <w:pStyle w:val="ListParagraph"/>
        <w:numPr>
          <w:ilvl w:val="0"/>
          <w:numId w:val="10"/>
        </w:numPr>
        <w:spacing w:line="240" w:lineRule="auto"/>
      </w:pPr>
      <w:r w:rsidRPr="00B12141">
        <w:rPr>
          <w:rFonts w:cs="Arial"/>
          <w:sz w:val="20"/>
        </w:rPr>
        <w:t>6.1 Know what is required to ensure that a fully recovered product may be used without being classed as waste.</w:t>
      </w:r>
    </w:p>
    <w:p w:rsidR="00B12141" w:rsidRPr="00B12141" w:rsidRDefault="00B12141" w:rsidP="00804525">
      <w:pPr>
        <w:pStyle w:val="ListParagraph"/>
        <w:numPr>
          <w:ilvl w:val="0"/>
          <w:numId w:val="10"/>
        </w:numPr>
        <w:spacing w:line="240" w:lineRule="auto"/>
        <w:rPr>
          <w:rFonts w:cs="Arial"/>
          <w:sz w:val="20"/>
          <w:szCs w:val="20"/>
        </w:rPr>
      </w:pPr>
      <w:r>
        <w:t>6.</w:t>
      </w:r>
      <w:r w:rsidR="00C42E9B">
        <w:t>3</w:t>
      </w:r>
      <w:r>
        <w:t xml:space="preserve"> </w:t>
      </w:r>
      <w:r w:rsidRPr="00B12141">
        <w:rPr>
          <w:rFonts w:cs="Arial"/>
          <w:sz w:val="20"/>
          <w:szCs w:val="20"/>
        </w:rPr>
        <w:t>Know the requirements of a Hazard Analysis Critical Control Point plan for a PAS 100 certified facility.</w:t>
      </w:r>
    </w:p>
    <w:p w:rsidR="00B12141" w:rsidRPr="00B12141" w:rsidRDefault="00B12141" w:rsidP="00804525">
      <w:pPr>
        <w:pStyle w:val="ListParagraph"/>
        <w:numPr>
          <w:ilvl w:val="0"/>
          <w:numId w:val="10"/>
        </w:numPr>
        <w:spacing w:line="240" w:lineRule="auto"/>
        <w:rPr>
          <w:rFonts w:cs="Arial"/>
          <w:sz w:val="20"/>
          <w:szCs w:val="20"/>
        </w:rPr>
      </w:pPr>
      <w:r w:rsidRPr="00B12141">
        <w:rPr>
          <w:rFonts w:cs="Arial"/>
          <w:sz w:val="20"/>
          <w:szCs w:val="20"/>
        </w:rPr>
        <w:t>6.4 Know the maximum contaminant concentrations permitted under PAS 100.</w:t>
      </w:r>
    </w:p>
    <w:p w:rsidR="00B12141" w:rsidRPr="00B12141" w:rsidRDefault="00B12141" w:rsidP="00804525">
      <w:pPr>
        <w:pStyle w:val="ListParagraph"/>
        <w:numPr>
          <w:ilvl w:val="0"/>
          <w:numId w:val="10"/>
        </w:numPr>
        <w:spacing w:line="240" w:lineRule="auto"/>
      </w:pPr>
      <w:r w:rsidRPr="00B12141">
        <w:rPr>
          <w:rFonts w:cs="Arial"/>
          <w:sz w:val="20"/>
        </w:rPr>
        <w:t>6.6 Know under what conditions a compost or compost-like output can be applied to land from a non PAS 100 certified facility.</w:t>
      </w:r>
    </w:p>
    <w:p w:rsidR="00B12141" w:rsidRPr="00B12141" w:rsidRDefault="00B12141" w:rsidP="00804525">
      <w:pPr>
        <w:pStyle w:val="ListParagraph"/>
        <w:numPr>
          <w:ilvl w:val="0"/>
          <w:numId w:val="10"/>
        </w:numPr>
        <w:spacing w:line="240" w:lineRule="auto"/>
      </w:pPr>
      <w:r w:rsidRPr="009E3DC7">
        <w:rPr>
          <w:sz w:val="20"/>
        </w:rPr>
        <w:t xml:space="preserve">7.3 Know the </w:t>
      </w:r>
      <w:r>
        <w:rPr>
          <w:sz w:val="20"/>
        </w:rPr>
        <w:t xml:space="preserve">importance of </w:t>
      </w:r>
      <w:r w:rsidRPr="009E3DC7">
        <w:rPr>
          <w:sz w:val="20"/>
        </w:rPr>
        <w:t xml:space="preserve">pH </w:t>
      </w:r>
      <w:r>
        <w:rPr>
          <w:sz w:val="20"/>
        </w:rPr>
        <w:t xml:space="preserve">during the process </w:t>
      </w:r>
      <w:r w:rsidRPr="009E3DC7">
        <w:rPr>
          <w:sz w:val="20"/>
        </w:rPr>
        <w:t>and how to manage it</w:t>
      </w:r>
      <w:r>
        <w:rPr>
          <w:sz w:val="20"/>
        </w:rPr>
        <w:t>.</w:t>
      </w:r>
    </w:p>
    <w:p w:rsidR="00804525" w:rsidRPr="00804525" w:rsidRDefault="00B12141" w:rsidP="00804525">
      <w:pPr>
        <w:pStyle w:val="ListParagraph"/>
        <w:numPr>
          <w:ilvl w:val="0"/>
          <w:numId w:val="10"/>
        </w:numPr>
        <w:spacing w:line="240" w:lineRule="auto"/>
      </w:pPr>
      <w:r w:rsidRPr="009E3DC7">
        <w:rPr>
          <w:sz w:val="20"/>
        </w:rPr>
        <w:t xml:space="preserve">7.6 Know the </w:t>
      </w:r>
      <w:r>
        <w:rPr>
          <w:sz w:val="20"/>
        </w:rPr>
        <w:t xml:space="preserve">effects of </w:t>
      </w:r>
      <w:r w:rsidRPr="009E3DC7">
        <w:rPr>
          <w:sz w:val="20"/>
        </w:rPr>
        <w:t xml:space="preserve">temperature </w:t>
      </w:r>
      <w:r>
        <w:rPr>
          <w:sz w:val="20"/>
        </w:rPr>
        <w:t>on an</w:t>
      </w:r>
      <w:r w:rsidRPr="009E3DC7">
        <w:rPr>
          <w:sz w:val="20"/>
        </w:rPr>
        <w:t xml:space="preserve"> aerobic</w:t>
      </w:r>
      <w:r w:rsidRPr="009E3DC7" w:rsidDel="00D11679">
        <w:rPr>
          <w:sz w:val="20"/>
        </w:rPr>
        <w:t xml:space="preserve"> </w:t>
      </w:r>
      <w:r w:rsidRPr="009E3DC7">
        <w:rPr>
          <w:sz w:val="20"/>
        </w:rPr>
        <w:t>composting process and how to manage it</w:t>
      </w:r>
      <w:r>
        <w:rPr>
          <w:sz w:val="20"/>
        </w:rPr>
        <w:t>.</w:t>
      </w:r>
    </w:p>
    <w:p w:rsidR="00804525" w:rsidRPr="00804525" w:rsidRDefault="00804525" w:rsidP="00804525">
      <w:pPr>
        <w:pStyle w:val="ListParagraph"/>
        <w:numPr>
          <w:ilvl w:val="0"/>
          <w:numId w:val="10"/>
        </w:numPr>
        <w:spacing w:after="0" w:line="240" w:lineRule="auto"/>
      </w:pPr>
      <w:r w:rsidRPr="00804525">
        <w:rPr>
          <w:rFonts w:cs="Arial"/>
          <w:sz w:val="20"/>
        </w:rPr>
        <w:t>7.7 Know how to manage feedstocks in relation to:</w:t>
      </w:r>
    </w:p>
    <w:p w:rsidR="00804525" w:rsidRPr="009E3DC7" w:rsidRDefault="00804525" w:rsidP="00804525">
      <w:pPr>
        <w:pStyle w:val="Quick"/>
        <w:numPr>
          <w:ilvl w:val="1"/>
          <w:numId w:val="13"/>
        </w:numPr>
        <w:rPr>
          <w:rFonts w:asciiTheme="minorHAnsi" w:hAnsiTheme="minorHAnsi" w:cs="Arial"/>
          <w:sz w:val="20"/>
          <w:szCs w:val="22"/>
        </w:rPr>
      </w:pPr>
      <w:r w:rsidRPr="009E3DC7">
        <w:rPr>
          <w:rFonts w:asciiTheme="minorHAnsi" w:hAnsiTheme="minorHAnsi" w:cs="Arial"/>
          <w:sz w:val="20"/>
          <w:szCs w:val="22"/>
        </w:rPr>
        <w:t>Optimum size of input materials</w:t>
      </w:r>
      <w:r>
        <w:rPr>
          <w:rFonts w:asciiTheme="minorHAnsi" w:hAnsiTheme="minorHAnsi" w:cs="Arial"/>
          <w:sz w:val="20"/>
          <w:szCs w:val="22"/>
        </w:rPr>
        <w:t>.</w:t>
      </w:r>
      <w:r w:rsidRPr="009E3DC7">
        <w:rPr>
          <w:rFonts w:asciiTheme="minorHAnsi" w:hAnsiTheme="minorHAnsi" w:cs="Arial"/>
          <w:sz w:val="20"/>
          <w:szCs w:val="22"/>
        </w:rPr>
        <w:t xml:space="preserve"> </w:t>
      </w:r>
    </w:p>
    <w:p w:rsidR="00804525" w:rsidRPr="009E3DC7" w:rsidRDefault="00804525" w:rsidP="00804525">
      <w:pPr>
        <w:pStyle w:val="Quick"/>
        <w:numPr>
          <w:ilvl w:val="1"/>
          <w:numId w:val="13"/>
        </w:numPr>
        <w:rPr>
          <w:rFonts w:asciiTheme="minorHAnsi" w:hAnsiTheme="minorHAnsi" w:cs="Arial"/>
          <w:sz w:val="20"/>
          <w:szCs w:val="22"/>
        </w:rPr>
      </w:pPr>
      <w:r w:rsidRPr="009E3DC7">
        <w:rPr>
          <w:rFonts w:asciiTheme="minorHAnsi" w:hAnsiTheme="minorHAnsi" w:cs="Arial"/>
          <w:sz w:val="20"/>
          <w:szCs w:val="22"/>
        </w:rPr>
        <w:t>Preventing anaerobic conditions</w:t>
      </w:r>
      <w:r>
        <w:rPr>
          <w:rFonts w:asciiTheme="minorHAnsi" w:hAnsiTheme="minorHAnsi" w:cs="Arial"/>
          <w:sz w:val="20"/>
          <w:szCs w:val="22"/>
        </w:rPr>
        <w:t>.</w:t>
      </w:r>
      <w:r w:rsidRPr="009E3DC7">
        <w:rPr>
          <w:rFonts w:asciiTheme="minorHAnsi" w:hAnsiTheme="minorHAnsi" w:cs="Arial"/>
          <w:sz w:val="20"/>
          <w:szCs w:val="22"/>
        </w:rPr>
        <w:t xml:space="preserve">  </w:t>
      </w:r>
    </w:p>
    <w:p w:rsidR="00804525" w:rsidRPr="00804525" w:rsidRDefault="00804525" w:rsidP="00804525">
      <w:pPr>
        <w:pStyle w:val="ListParagraph"/>
        <w:numPr>
          <w:ilvl w:val="1"/>
          <w:numId w:val="13"/>
        </w:numPr>
        <w:spacing w:after="0" w:line="240" w:lineRule="auto"/>
      </w:pPr>
      <w:r w:rsidRPr="009E3DC7">
        <w:rPr>
          <w:rFonts w:cs="Arial"/>
          <w:sz w:val="20"/>
        </w:rPr>
        <w:t>Moisture levels</w:t>
      </w:r>
      <w:r>
        <w:rPr>
          <w:rFonts w:cs="Arial"/>
          <w:sz w:val="20"/>
        </w:rPr>
        <w:t>.</w:t>
      </w:r>
    </w:p>
    <w:p w:rsidR="00804525" w:rsidRPr="009E3DC7" w:rsidRDefault="00804525" w:rsidP="00804525">
      <w:pPr>
        <w:pStyle w:val="Quick"/>
        <w:numPr>
          <w:ilvl w:val="0"/>
          <w:numId w:val="15"/>
        </w:numPr>
        <w:rPr>
          <w:rFonts w:asciiTheme="minorHAnsi" w:hAnsiTheme="minorHAnsi" w:cs="Arial"/>
          <w:sz w:val="20"/>
          <w:szCs w:val="22"/>
        </w:rPr>
      </w:pPr>
      <w:r w:rsidRPr="009E3DC7">
        <w:rPr>
          <w:rFonts w:asciiTheme="minorHAnsi" w:hAnsiTheme="minorHAnsi" w:cs="Arial"/>
          <w:sz w:val="20"/>
          <w:szCs w:val="22"/>
        </w:rPr>
        <w:t xml:space="preserve">7.8 Know how to manage the aerobic composting process in accordance with regulatory and process requirements </w:t>
      </w:r>
      <w:r w:rsidR="00986609">
        <w:rPr>
          <w:rFonts w:asciiTheme="minorHAnsi" w:hAnsiTheme="minorHAnsi" w:cs="Arial"/>
          <w:sz w:val="20"/>
          <w:szCs w:val="22"/>
        </w:rPr>
        <w:t xml:space="preserve">to </w:t>
      </w:r>
      <w:r>
        <w:rPr>
          <w:rFonts w:asciiTheme="minorHAnsi" w:hAnsiTheme="minorHAnsi" w:cs="Arial"/>
          <w:sz w:val="20"/>
          <w:szCs w:val="22"/>
        </w:rPr>
        <w:t>prevent</w:t>
      </w:r>
      <w:r w:rsidR="00986609">
        <w:rPr>
          <w:rFonts w:asciiTheme="minorHAnsi" w:hAnsiTheme="minorHAnsi" w:cs="Arial"/>
          <w:sz w:val="20"/>
          <w:szCs w:val="22"/>
        </w:rPr>
        <w:t xml:space="preserve"> or </w:t>
      </w:r>
      <w:r w:rsidRPr="009E3DC7">
        <w:rPr>
          <w:rFonts w:asciiTheme="minorHAnsi" w:hAnsiTheme="minorHAnsi" w:cs="Arial"/>
          <w:sz w:val="20"/>
          <w:szCs w:val="22"/>
        </w:rPr>
        <w:t>in the event of:</w:t>
      </w:r>
    </w:p>
    <w:p w:rsidR="00804525" w:rsidRPr="00804525" w:rsidRDefault="00804525" w:rsidP="00804525">
      <w:pPr>
        <w:pStyle w:val="ListParagraph"/>
        <w:numPr>
          <w:ilvl w:val="0"/>
          <w:numId w:val="16"/>
        </w:numPr>
        <w:spacing w:after="0" w:line="240" w:lineRule="auto"/>
        <w:rPr>
          <w:sz w:val="20"/>
        </w:rPr>
      </w:pPr>
      <w:r w:rsidRPr="00804525">
        <w:rPr>
          <w:sz w:val="20"/>
        </w:rPr>
        <w:t>Plant breakdown.</w:t>
      </w:r>
    </w:p>
    <w:p w:rsidR="00804525" w:rsidRPr="00804525" w:rsidRDefault="00804525" w:rsidP="00804525">
      <w:pPr>
        <w:pStyle w:val="ListParagraph"/>
        <w:numPr>
          <w:ilvl w:val="0"/>
          <w:numId w:val="16"/>
        </w:numPr>
        <w:spacing w:after="0" w:line="240" w:lineRule="auto"/>
        <w:rPr>
          <w:sz w:val="20"/>
        </w:rPr>
      </w:pPr>
      <w:r w:rsidRPr="00804525">
        <w:rPr>
          <w:sz w:val="20"/>
        </w:rPr>
        <w:t>Equipment breakdown.</w:t>
      </w:r>
    </w:p>
    <w:p w:rsidR="00B12141" w:rsidRDefault="00B12141" w:rsidP="00B12141">
      <w:pPr>
        <w:sectPr w:rsidR="00B12141" w:rsidSect="00033393">
          <w:headerReference w:type="default" r:id="rId10"/>
          <w:footerReference w:type="default" r:id="rId11"/>
          <w:pgSz w:w="11906" w:h="16838"/>
          <w:pgMar w:top="1440" w:right="1440" w:bottom="1440" w:left="1440" w:header="708" w:footer="708" w:gutter="0"/>
          <w:cols w:num="2" w:space="708"/>
          <w:docGrid w:linePitch="360"/>
        </w:sectPr>
      </w:pPr>
    </w:p>
    <w:p w:rsidR="00C02BF3" w:rsidRPr="00C02BF3" w:rsidRDefault="00C02BF3" w:rsidP="00C02BF3">
      <w:pPr>
        <w:rPr>
          <w:i/>
          <w:color w:val="7030A0"/>
        </w:rPr>
      </w:pPr>
      <w:r>
        <w:rPr>
          <w:i/>
          <w:color w:val="7030A0"/>
        </w:rPr>
        <w:lastRenderedPageBreak/>
        <w:t>Revised List of Sources</w:t>
      </w:r>
    </w:p>
    <w:tbl>
      <w:tblPr>
        <w:tblStyle w:val="TableGrid"/>
        <w:tblW w:w="5000" w:type="pct"/>
        <w:tblLayout w:type="fixed"/>
        <w:tblLook w:val="04A0" w:firstRow="1" w:lastRow="0" w:firstColumn="1" w:lastColumn="0" w:noHBand="0" w:noVBand="1"/>
      </w:tblPr>
      <w:tblGrid>
        <w:gridCol w:w="1101"/>
        <w:gridCol w:w="3274"/>
      </w:tblGrid>
      <w:tr w:rsidR="00C02BF3" w:rsidRPr="00045EBB" w:rsidTr="00AF6805">
        <w:tc>
          <w:tcPr>
            <w:tcW w:w="1258" w:type="pct"/>
            <w:shd w:val="clear" w:color="auto" w:fill="7030A0"/>
          </w:tcPr>
          <w:p w:rsidR="00C02BF3" w:rsidRPr="00045EBB" w:rsidRDefault="00C02BF3" w:rsidP="00C02BF3">
            <w:pPr>
              <w:rPr>
                <w:b/>
                <w:color w:val="FFFFFF" w:themeColor="background1"/>
                <w:sz w:val="18"/>
                <w:szCs w:val="18"/>
              </w:rPr>
            </w:pPr>
            <w:r w:rsidRPr="00045EBB">
              <w:rPr>
                <w:b/>
                <w:color w:val="FFFFFF" w:themeColor="background1"/>
                <w:sz w:val="18"/>
                <w:szCs w:val="18"/>
              </w:rPr>
              <w:t>Page</w:t>
            </w:r>
          </w:p>
        </w:tc>
        <w:tc>
          <w:tcPr>
            <w:tcW w:w="3742" w:type="pct"/>
            <w:shd w:val="clear" w:color="auto" w:fill="7030A0"/>
          </w:tcPr>
          <w:p w:rsidR="00C02BF3" w:rsidRPr="00045EBB" w:rsidRDefault="00C02BF3" w:rsidP="00C02BF3">
            <w:pPr>
              <w:rPr>
                <w:b/>
                <w:color w:val="FFFFFF" w:themeColor="background1"/>
                <w:sz w:val="18"/>
                <w:szCs w:val="18"/>
              </w:rPr>
            </w:pPr>
            <w:r w:rsidRPr="00045EBB">
              <w:rPr>
                <w:b/>
                <w:color w:val="FFFFFF" w:themeColor="background1"/>
                <w:sz w:val="18"/>
                <w:szCs w:val="18"/>
              </w:rPr>
              <w:t>Source</w:t>
            </w:r>
          </w:p>
        </w:tc>
      </w:tr>
      <w:tr w:rsidR="008B1233" w:rsidRPr="00045EBB" w:rsidTr="00AF6805">
        <w:tc>
          <w:tcPr>
            <w:tcW w:w="1258" w:type="pct"/>
          </w:tcPr>
          <w:p w:rsidR="008B1233" w:rsidRPr="00AF6805" w:rsidRDefault="0012487E" w:rsidP="00D00735">
            <w:pPr>
              <w:spacing w:after="120"/>
              <w:rPr>
                <w:bCs/>
                <w:sz w:val="18"/>
                <w:szCs w:val="18"/>
              </w:rPr>
            </w:pPr>
            <w:r>
              <w:rPr>
                <w:sz w:val="18"/>
                <w:szCs w:val="18"/>
              </w:rPr>
              <w:t>14,16,17,2021,26,27,2831,32,34,3539,45,48,4950,51,52,55</w:t>
            </w:r>
            <w:r w:rsidR="00045EBB" w:rsidRPr="00AF6805">
              <w:rPr>
                <w:sz w:val="18"/>
                <w:szCs w:val="18"/>
              </w:rPr>
              <w:t>56,57,58,61</w:t>
            </w:r>
          </w:p>
        </w:tc>
        <w:tc>
          <w:tcPr>
            <w:tcW w:w="3742" w:type="pct"/>
          </w:tcPr>
          <w:p w:rsidR="008B1233" w:rsidRPr="00045EBB" w:rsidRDefault="00045EBB" w:rsidP="008B1233">
            <w:pPr>
              <w:rPr>
                <w:sz w:val="18"/>
                <w:szCs w:val="18"/>
              </w:rPr>
            </w:pPr>
            <w:r w:rsidRPr="00045EBB">
              <w:rPr>
                <w:sz w:val="18"/>
                <w:szCs w:val="18"/>
              </w:rPr>
              <w:t>Environment Agency (2013) How to comply with your environmental permit. Additional technical guidance for composting and aerobic treatment sector</w:t>
            </w:r>
          </w:p>
        </w:tc>
      </w:tr>
      <w:tr w:rsidR="008B1233" w:rsidRPr="00045EBB" w:rsidTr="00AF6805">
        <w:tc>
          <w:tcPr>
            <w:tcW w:w="1258" w:type="pct"/>
          </w:tcPr>
          <w:p w:rsidR="008B1233" w:rsidRPr="00AF6805" w:rsidRDefault="00045EBB" w:rsidP="008B1233">
            <w:pPr>
              <w:spacing w:after="120"/>
              <w:rPr>
                <w:bCs/>
                <w:sz w:val="18"/>
                <w:szCs w:val="18"/>
              </w:rPr>
            </w:pPr>
            <w:r w:rsidRPr="00AF6805">
              <w:rPr>
                <w:sz w:val="18"/>
                <w:szCs w:val="18"/>
              </w:rPr>
              <w:t>20,42,44</w:t>
            </w:r>
          </w:p>
        </w:tc>
        <w:tc>
          <w:tcPr>
            <w:tcW w:w="3742" w:type="pct"/>
          </w:tcPr>
          <w:p w:rsidR="008B1233" w:rsidRPr="00045EBB" w:rsidRDefault="00461A6C" w:rsidP="000F3DA1">
            <w:pPr>
              <w:rPr>
                <w:sz w:val="18"/>
                <w:szCs w:val="18"/>
              </w:rPr>
            </w:pPr>
            <w:hyperlink r:id="rId12" w:history="1">
              <w:r w:rsidR="00045EBB" w:rsidRPr="00045EBB">
                <w:rPr>
                  <w:rStyle w:val="Hyperlink"/>
                  <w:sz w:val="18"/>
                  <w:szCs w:val="18"/>
                </w:rPr>
                <w:t>Environment Agency (2012) Quality protocol: compost</w:t>
              </w:r>
            </w:hyperlink>
          </w:p>
        </w:tc>
      </w:tr>
      <w:tr w:rsidR="008B1233" w:rsidRPr="00045EBB" w:rsidTr="00AF6805">
        <w:tc>
          <w:tcPr>
            <w:tcW w:w="1258" w:type="pct"/>
          </w:tcPr>
          <w:p w:rsidR="008B1233" w:rsidRPr="00AF6805" w:rsidRDefault="00045EBB" w:rsidP="008B1233">
            <w:pPr>
              <w:spacing w:after="120"/>
              <w:rPr>
                <w:bCs/>
                <w:sz w:val="18"/>
                <w:szCs w:val="18"/>
              </w:rPr>
            </w:pPr>
            <w:r w:rsidRPr="00AF6805">
              <w:rPr>
                <w:bCs/>
                <w:sz w:val="18"/>
                <w:szCs w:val="18"/>
              </w:rPr>
              <w:t>22</w:t>
            </w:r>
          </w:p>
        </w:tc>
        <w:tc>
          <w:tcPr>
            <w:tcW w:w="3742" w:type="pct"/>
          </w:tcPr>
          <w:p w:rsidR="008B1233" w:rsidRPr="00045EBB" w:rsidRDefault="00461A6C" w:rsidP="008B1233">
            <w:pPr>
              <w:rPr>
                <w:sz w:val="18"/>
                <w:szCs w:val="18"/>
              </w:rPr>
            </w:pPr>
            <w:hyperlink r:id="rId13" w:history="1">
              <w:r w:rsidR="00045EBB" w:rsidRPr="00045EBB">
                <w:rPr>
                  <w:rStyle w:val="Hyperlink"/>
                  <w:sz w:val="18"/>
                  <w:szCs w:val="18"/>
                </w:rPr>
                <w:t>DEFRA (2013) Mechanical Biological Treatment of Municipal Solid Waste</w:t>
              </w:r>
            </w:hyperlink>
          </w:p>
        </w:tc>
      </w:tr>
      <w:tr w:rsidR="008B1233" w:rsidRPr="00045EBB" w:rsidTr="00AF6805">
        <w:tc>
          <w:tcPr>
            <w:tcW w:w="1258" w:type="pct"/>
          </w:tcPr>
          <w:p w:rsidR="008B1233" w:rsidRPr="00AF6805" w:rsidRDefault="00045EBB" w:rsidP="008B1233">
            <w:pPr>
              <w:spacing w:after="120"/>
              <w:rPr>
                <w:bCs/>
                <w:sz w:val="18"/>
                <w:szCs w:val="18"/>
              </w:rPr>
            </w:pPr>
            <w:r w:rsidRPr="00AF6805">
              <w:rPr>
                <w:bCs/>
                <w:sz w:val="18"/>
                <w:szCs w:val="18"/>
              </w:rPr>
              <w:t>23</w:t>
            </w:r>
          </w:p>
        </w:tc>
        <w:tc>
          <w:tcPr>
            <w:tcW w:w="3742" w:type="pct"/>
          </w:tcPr>
          <w:p w:rsidR="008B1233" w:rsidRPr="00045EBB" w:rsidRDefault="00461A6C" w:rsidP="008B1233">
            <w:pPr>
              <w:rPr>
                <w:sz w:val="18"/>
                <w:szCs w:val="18"/>
              </w:rPr>
            </w:pPr>
            <w:hyperlink r:id="rId14" w:history="1">
              <w:r w:rsidR="00045EBB" w:rsidRPr="00045EBB">
                <w:rPr>
                  <w:rStyle w:val="Hyperlink"/>
                  <w:sz w:val="18"/>
                  <w:szCs w:val="18"/>
                </w:rPr>
                <w:t>SR2012 No7: Composting in open systems (waste operation – no more than 75 tonnes per day)</w:t>
              </w:r>
            </w:hyperlink>
          </w:p>
        </w:tc>
      </w:tr>
      <w:tr w:rsidR="008B1233" w:rsidRPr="00045EBB" w:rsidTr="00AF6805">
        <w:tc>
          <w:tcPr>
            <w:tcW w:w="1258" w:type="pct"/>
          </w:tcPr>
          <w:p w:rsidR="008B1233" w:rsidRPr="00AF6805" w:rsidRDefault="00045EBB" w:rsidP="008B1233">
            <w:pPr>
              <w:spacing w:after="120"/>
              <w:rPr>
                <w:bCs/>
                <w:sz w:val="18"/>
                <w:szCs w:val="18"/>
              </w:rPr>
            </w:pPr>
            <w:r w:rsidRPr="00AF6805">
              <w:rPr>
                <w:bCs/>
                <w:sz w:val="18"/>
                <w:szCs w:val="18"/>
              </w:rPr>
              <w:t>23</w:t>
            </w:r>
          </w:p>
        </w:tc>
        <w:tc>
          <w:tcPr>
            <w:tcW w:w="3742" w:type="pct"/>
          </w:tcPr>
          <w:p w:rsidR="008B1233" w:rsidRPr="00045EBB" w:rsidRDefault="00461A6C" w:rsidP="008B1233">
            <w:pPr>
              <w:rPr>
                <w:sz w:val="18"/>
                <w:szCs w:val="18"/>
              </w:rPr>
            </w:pPr>
            <w:hyperlink r:id="rId15" w:history="1">
              <w:r w:rsidR="00045EBB" w:rsidRPr="00045EBB">
                <w:rPr>
                  <w:rStyle w:val="Hyperlink"/>
                  <w:rFonts w:cs="Calibri"/>
                  <w:sz w:val="18"/>
                  <w:szCs w:val="18"/>
                </w:rPr>
                <w:t>Natural Resources Wales Standard Rules Sets</w:t>
              </w:r>
            </w:hyperlink>
          </w:p>
        </w:tc>
      </w:tr>
      <w:tr w:rsidR="008B1233" w:rsidRPr="00045EBB" w:rsidTr="00AF6805">
        <w:tc>
          <w:tcPr>
            <w:tcW w:w="1258" w:type="pct"/>
          </w:tcPr>
          <w:p w:rsidR="008B1233" w:rsidRPr="00AF6805" w:rsidRDefault="00045EBB" w:rsidP="008B1233">
            <w:pPr>
              <w:spacing w:after="120"/>
              <w:rPr>
                <w:bCs/>
                <w:sz w:val="18"/>
                <w:szCs w:val="18"/>
              </w:rPr>
            </w:pPr>
            <w:r w:rsidRPr="00AF6805">
              <w:rPr>
                <w:bCs/>
                <w:sz w:val="18"/>
                <w:szCs w:val="18"/>
              </w:rPr>
              <w:t>26,28</w:t>
            </w:r>
          </w:p>
        </w:tc>
        <w:tc>
          <w:tcPr>
            <w:tcW w:w="3742" w:type="pct"/>
          </w:tcPr>
          <w:p w:rsidR="008B1233" w:rsidRPr="00045EBB" w:rsidRDefault="00461A6C" w:rsidP="008B1233">
            <w:pPr>
              <w:rPr>
                <w:sz w:val="18"/>
                <w:szCs w:val="18"/>
              </w:rPr>
            </w:pPr>
            <w:hyperlink r:id="rId16" w:history="1">
              <w:r w:rsidR="00045EBB" w:rsidRPr="00045EBB">
                <w:rPr>
                  <w:rStyle w:val="Hyperlink"/>
                  <w:sz w:val="18"/>
                  <w:szCs w:val="18"/>
                </w:rPr>
                <w:t>Gov.uk (2014) Using animal by-products at compost and biogas sites</w:t>
              </w:r>
            </w:hyperlink>
          </w:p>
        </w:tc>
      </w:tr>
      <w:tr w:rsidR="008B1233" w:rsidRPr="00045EBB" w:rsidTr="00AF6805">
        <w:tc>
          <w:tcPr>
            <w:tcW w:w="1258" w:type="pct"/>
          </w:tcPr>
          <w:p w:rsidR="008B1233" w:rsidRPr="00AF6805" w:rsidRDefault="00045EBB" w:rsidP="008B1233">
            <w:pPr>
              <w:spacing w:after="120"/>
              <w:rPr>
                <w:bCs/>
                <w:sz w:val="18"/>
                <w:szCs w:val="18"/>
              </w:rPr>
            </w:pPr>
            <w:r w:rsidRPr="00AF6805">
              <w:rPr>
                <w:bCs/>
                <w:sz w:val="18"/>
                <w:szCs w:val="18"/>
              </w:rPr>
              <w:t>26</w:t>
            </w:r>
          </w:p>
        </w:tc>
        <w:tc>
          <w:tcPr>
            <w:tcW w:w="3742" w:type="pct"/>
          </w:tcPr>
          <w:p w:rsidR="008B1233" w:rsidRPr="00045EBB" w:rsidRDefault="00461A6C" w:rsidP="008B1233">
            <w:pPr>
              <w:rPr>
                <w:sz w:val="18"/>
                <w:szCs w:val="18"/>
              </w:rPr>
            </w:pPr>
            <w:hyperlink r:id="rId17" w:history="1">
              <w:r w:rsidR="00045EBB" w:rsidRPr="00045EBB">
                <w:rPr>
                  <w:rStyle w:val="Hyperlink"/>
                  <w:sz w:val="18"/>
                  <w:szCs w:val="18"/>
                </w:rPr>
                <w:t>DEFRA (2014) Guidance on Composting and Biogas (Anaerobic Digestion) of Animal By-Products</w:t>
              </w:r>
            </w:hyperlink>
          </w:p>
        </w:tc>
      </w:tr>
      <w:tr w:rsidR="008B1233" w:rsidRPr="00045EBB" w:rsidTr="00AF6805">
        <w:tc>
          <w:tcPr>
            <w:tcW w:w="1258" w:type="pct"/>
          </w:tcPr>
          <w:p w:rsidR="008B1233" w:rsidRPr="00AF6805" w:rsidRDefault="00045EBB" w:rsidP="008B1233">
            <w:pPr>
              <w:spacing w:after="120"/>
              <w:rPr>
                <w:bCs/>
                <w:sz w:val="18"/>
                <w:szCs w:val="18"/>
              </w:rPr>
            </w:pPr>
            <w:r w:rsidRPr="00AF6805">
              <w:rPr>
                <w:bCs/>
                <w:sz w:val="18"/>
                <w:szCs w:val="18"/>
              </w:rPr>
              <w:t>27</w:t>
            </w:r>
          </w:p>
        </w:tc>
        <w:tc>
          <w:tcPr>
            <w:tcW w:w="3742" w:type="pct"/>
          </w:tcPr>
          <w:p w:rsidR="008B1233" w:rsidRPr="00045EBB" w:rsidRDefault="00461A6C" w:rsidP="008B1233">
            <w:pPr>
              <w:rPr>
                <w:sz w:val="18"/>
                <w:szCs w:val="18"/>
              </w:rPr>
            </w:pPr>
            <w:hyperlink r:id="rId18" w:anchor="keeping-records-and-labelling" w:history="1">
              <w:r w:rsidR="00045EBB" w:rsidRPr="00045EBB">
                <w:rPr>
                  <w:rStyle w:val="Hyperlink"/>
                  <w:sz w:val="18"/>
                  <w:szCs w:val="18"/>
                </w:rPr>
                <w:t>DEFRA (2018) Animal by-product categories, site approval, hygiene and disposal</w:t>
              </w:r>
            </w:hyperlink>
          </w:p>
        </w:tc>
      </w:tr>
      <w:tr w:rsidR="008B1233" w:rsidRPr="00045EBB" w:rsidTr="00AF6805">
        <w:tc>
          <w:tcPr>
            <w:tcW w:w="1258" w:type="pct"/>
          </w:tcPr>
          <w:p w:rsidR="008B1233" w:rsidRPr="00AF6805" w:rsidRDefault="00045EBB" w:rsidP="008B1233">
            <w:pPr>
              <w:spacing w:after="120"/>
              <w:rPr>
                <w:bCs/>
                <w:sz w:val="18"/>
                <w:szCs w:val="18"/>
              </w:rPr>
            </w:pPr>
            <w:r w:rsidRPr="00AF6805">
              <w:rPr>
                <w:bCs/>
                <w:sz w:val="18"/>
                <w:szCs w:val="18"/>
              </w:rPr>
              <w:t>28</w:t>
            </w:r>
          </w:p>
        </w:tc>
        <w:tc>
          <w:tcPr>
            <w:tcW w:w="3742" w:type="pct"/>
          </w:tcPr>
          <w:p w:rsidR="008B1233" w:rsidRPr="00045EBB" w:rsidRDefault="00461A6C" w:rsidP="008B1233">
            <w:pPr>
              <w:rPr>
                <w:sz w:val="18"/>
                <w:szCs w:val="18"/>
              </w:rPr>
            </w:pPr>
            <w:hyperlink r:id="rId19" w:anchor="what-bacteria-you-need-to-test-for-and-when-to-take-samples" w:history="1">
              <w:r w:rsidR="00045EBB" w:rsidRPr="00045EBB">
                <w:rPr>
                  <w:rStyle w:val="Hyperlink"/>
                  <w:sz w:val="18"/>
                  <w:szCs w:val="18"/>
                </w:rPr>
                <w:t>DEFRA (2018) Laboratory testing requirements for animal by-products (ABPs)</w:t>
              </w:r>
            </w:hyperlink>
          </w:p>
        </w:tc>
      </w:tr>
      <w:tr w:rsidR="00045EBB" w:rsidRPr="00045EBB" w:rsidTr="00AF6805">
        <w:tc>
          <w:tcPr>
            <w:tcW w:w="1258" w:type="pct"/>
          </w:tcPr>
          <w:p w:rsidR="00045EBB" w:rsidRPr="00AF6805" w:rsidRDefault="00045EBB" w:rsidP="008B1233">
            <w:pPr>
              <w:spacing w:after="120"/>
              <w:rPr>
                <w:bCs/>
                <w:sz w:val="18"/>
                <w:szCs w:val="18"/>
              </w:rPr>
            </w:pPr>
            <w:r w:rsidRPr="00AF6805">
              <w:rPr>
                <w:bCs/>
                <w:sz w:val="18"/>
                <w:szCs w:val="18"/>
              </w:rPr>
              <w:t>28</w:t>
            </w:r>
            <w:r w:rsidR="00AF6805" w:rsidRPr="00AF6805">
              <w:rPr>
                <w:bCs/>
                <w:sz w:val="18"/>
                <w:szCs w:val="18"/>
              </w:rPr>
              <w:t>,42,43</w:t>
            </w:r>
          </w:p>
        </w:tc>
        <w:tc>
          <w:tcPr>
            <w:tcW w:w="3742" w:type="pct"/>
          </w:tcPr>
          <w:p w:rsidR="00045EBB" w:rsidRPr="00045EBB" w:rsidRDefault="00461A6C" w:rsidP="008B1233">
            <w:pPr>
              <w:rPr>
                <w:sz w:val="18"/>
                <w:szCs w:val="18"/>
              </w:rPr>
            </w:pPr>
            <w:hyperlink r:id="rId20" w:history="1">
              <w:r w:rsidR="00045EBB" w:rsidRPr="00045EBB">
                <w:rPr>
                  <w:rStyle w:val="Hyperlink"/>
                  <w:sz w:val="18"/>
                  <w:szCs w:val="18"/>
                </w:rPr>
                <w:t>BSI PAS 100: producing quality compost</w:t>
              </w:r>
            </w:hyperlink>
          </w:p>
        </w:tc>
      </w:tr>
      <w:tr w:rsidR="00045EBB" w:rsidRPr="00045EBB" w:rsidTr="00AF6805">
        <w:tc>
          <w:tcPr>
            <w:tcW w:w="1258" w:type="pct"/>
          </w:tcPr>
          <w:p w:rsidR="00045EBB" w:rsidRPr="00AF6805" w:rsidRDefault="00045EBB" w:rsidP="008B1233">
            <w:pPr>
              <w:spacing w:after="120"/>
              <w:rPr>
                <w:bCs/>
                <w:sz w:val="18"/>
                <w:szCs w:val="18"/>
              </w:rPr>
            </w:pPr>
            <w:r w:rsidRPr="00AF6805">
              <w:rPr>
                <w:bCs/>
                <w:sz w:val="18"/>
                <w:szCs w:val="18"/>
              </w:rPr>
              <w:t>28</w:t>
            </w:r>
          </w:p>
        </w:tc>
        <w:tc>
          <w:tcPr>
            <w:tcW w:w="3742" w:type="pct"/>
          </w:tcPr>
          <w:p w:rsidR="00045EBB" w:rsidRPr="00045EBB" w:rsidRDefault="00461A6C" w:rsidP="008B1233">
            <w:pPr>
              <w:rPr>
                <w:sz w:val="18"/>
                <w:szCs w:val="18"/>
              </w:rPr>
            </w:pPr>
            <w:hyperlink r:id="rId21" w:history="1">
              <w:r w:rsidR="00045EBB" w:rsidRPr="00045EBB">
                <w:rPr>
                  <w:rStyle w:val="Hyperlink"/>
                  <w:rFonts w:ascii="Calibri" w:hAnsi="Calibri" w:cs="Arial"/>
                  <w:sz w:val="18"/>
                  <w:szCs w:val="18"/>
                </w:rPr>
                <w:t>Regulation (EC) 852/2004 on the hygiene of foodstuffs</w:t>
              </w:r>
            </w:hyperlink>
          </w:p>
        </w:tc>
      </w:tr>
      <w:tr w:rsidR="00045EBB" w:rsidRPr="00045EBB" w:rsidTr="00AF6805">
        <w:tc>
          <w:tcPr>
            <w:tcW w:w="1258" w:type="pct"/>
          </w:tcPr>
          <w:p w:rsidR="00045EBB" w:rsidRPr="00AF6805" w:rsidRDefault="00045EBB" w:rsidP="00045EBB">
            <w:pPr>
              <w:spacing w:after="120"/>
              <w:rPr>
                <w:sz w:val="18"/>
                <w:szCs w:val="18"/>
              </w:rPr>
            </w:pPr>
            <w:r w:rsidRPr="00AF6805">
              <w:rPr>
                <w:sz w:val="18"/>
                <w:szCs w:val="18"/>
              </w:rPr>
              <w:t>31,32,33,34</w:t>
            </w:r>
          </w:p>
        </w:tc>
        <w:tc>
          <w:tcPr>
            <w:tcW w:w="3742" w:type="pct"/>
          </w:tcPr>
          <w:p w:rsidR="00045EBB" w:rsidRPr="00045EBB" w:rsidRDefault="00461A6C" w:rsidP="008B1233">
            <w:pPr>
              <w:rPr>
                <w:sz w:val="18"/>
                <w:szCs w:val="18"/>
              </w:rPr>
            </w:pPr>
            <w:hyperlink r:id="rId22" w:history="1">
              <w:r w:rsidR="00045EBB" w:rsidRPr="00045EBB">
                <w:rPr>
                  <w:rStyle w:val="Hyperlink"/>
                  <w:sz w:val="18"/>
                  <w:szCs w:val="18"/>
                </w:rPr>
                <w:t>Environment Agency (2011) H4 Odour Management</w:t>
              </w:r>
            </w:hyperlink>
          </w:p>
        </w:tc>
      </w:tr>
      <w:tr w:rsidR="00045EBB" w:rsidRPr="00045EBB" w:rsidTr="00AF6805">
        <w:tc>
          <w:tcPr>
            <w:tcW w:w="1258" w:type="pct"/>
          </w:tcPr>
          <w:p w:rsidR="00045EBB" w:rsidRPr="00AF6805" w:rsidRDefault="00045EBB" w:rsidP="00045EBB">
            <w:pPr>
              <w:spacing w:after="120"/>
              <w:rPr>
                <w:sz w:val="18"/>
                <w:szCs w:val="18"/>
              </w:rPr>
            </w:pPr>
            <w:r w:rsidRPr="00AF6805">
              <w:rPr>
                <w:sz w:val="18"/>
                <w:szCs w:val="18"/>
              </w:rPr>
              <w:t>31,32,33,34</w:t>
            </w:r>
          </w:p>
        </w:tc>
        <w:tc>
          <w:tcPr>
            <w:tcW w:w="3742" w:type="pct"/>
          </w:tcPr>
          <w:p w:rsidR="00045EBB" w:rsidRPr="00045EBB" w:rsidRDefault="00461A6C" w:rsidP="008B1233">
            <w:pPr>
              <w:rPr>
                <w:sz w:val="18"/>
                <w:szCs w:val="18"/>
              </w:rPr>
            </w:pPr>
            <w:hyperlink r:id="rId23" w:anchor="documentDownloads" w:history="1">
              <w:r w:rsidR="00045EBB" w:rsidRPr="00045EBB">
                <w:rPr>
                  <w:rStyle w:val="Hyperlink"/>
                  <w:sz w:val="18"/>
                  <w:szCs w:val="18"/>
                </w:rPr>
                <w:t>Natural Resources Wales (2014) How to comply with your environmental permit Additional guidance for: H4 Odour Management</w:t>
              </w:r>
            </w:hyperlink>
          </w:p>
        </w:tc>
      </w:tr>
      <w:tr w:rsidR="00045EBB" w:rsidRPr="00045EBB" w:rsidTr="00AF6805">
        <w:tc>
          <w:tcPr>
            <w:tcW w:w="1258" w:type="pct"/>
          </w:tcPr>
          <w:p w:rsidR="00045EBB" w:rsidRPr="00AF6805" w:rsidRDefault="00045EBB" w:rsidP="00045EBB">
            <w:pPr>
              <w:spacing w:after="120"/>
              <w:rPr>
                <w:sz w:val="18"/>
                <w:szCs w:val="20"/>
              </w:rPr>
            </w:pPr>
            <w:r w:rsidRPr="00AF6805">
              <w:rPr>
                <w:sz w:val="18"/>
                <w:szCs w:val="20"/>
              </w:rPr>
              <w:t>34</w:t>
            </w:r>
          </w:p>
        </w:tc>
        <w:tc>
          <w:tcPr>
            <w:tcW w:w="3742" w:type="pct"/>
          </w:tcPr>
          <w:p w:rsidR="00045EBB" w:rsidRPr="00045EBB" w:rsidRDefault="00461A6C" w:rsidP="008B1233">
            <w:pPr>
              <w:rPr>
                <w:sz w:val="18"/>
                <w:szCs w:val="18"/>
              </w:rPr>
            </w:pPr>
            <w:hyperlink r:id="rId24" w:history="1">
              <w:r w:rsidR="00045EBB" w:rsidRPr="00045EBB">
                <w:rPr>
                  <w:rStyle w:val="Hyperlink"/>
                  <w:sz w:val="18"/>
                  <w:szCs w:val="20"/>
                </w:rPr>
                <w:t>Environment Agency (2010) Odour Management Plans for Waste Handling Facilities</w:t>
              </w:r>
            </w:hyperlink>
          </w:p>
        </w:tc>
      </w:tr>
      <w:tr w:rsidR="00045EBB" w:rsidRPr="00045EBB" w:rsidTr="00AF6805">
        <w:tc>
          <w:tcPr>
            <w:tcW w:w="1258" w:type="pct"/>
          </w:tcPr>
          <w:p w:rsidR="00045EBB" w:rsidRPr="00AF6805" w:rsidRDefault="00045EBB" w:rsidP="00045EBB">
            <w:pPr>
              <w:spacing w:after="120"/>
              <w:rPr>
                <w:sz w:val="18"/>
                <w:szCs w:val="20"/>
              </w:rPr>
            </w:pPr>
            <w:r w:rsidRPr="00AF6805">
              <w:rPr>
                <w:sz w:val="18"/>
                <w:szCs w:val="20"/>
              </w:rPr>
              <w:t>35</w:t>
            </w:r>
          </w:p>
        </w:tc>
        <w:tc>
          <w:tcPr>
            <w:tcW w:w="3742" w:type="pct"/>
          </w:tcPr>
          <w:p w:rsidR="00045EBB" w:rsidRPr="00045EBB" w:rsidRDefault="00461A6C" w:rsidP="008B1233">
            <w:pPr>
              <w:rPr>
                <w:sz w:val="18"/>
                <w:szCs w:val="18"/>
              </w:rPr>
            </w:pPr>
            <w:hyperlink r:id="rId25" w:history="1">
              <w:r w:rsidR="00045EBB" w:rsidRPr="00045EBB">
                <w:rPr>
                  <w:rStyle w:val="Hyperlink"/>
                  <w:sz w:val="18"/>
                  <w:szCs w:val="20"/>
                </w:rPr>
                <w:t xml:space="preserve">Organics Recycling Group (2007) An industry guide for the prevention and control of odours at </w:t>
              </w:r>
              <w:proofErr w:type="spellStart"/>
              <w:r w:rsidR="00045EBB" w:rsidRPr="00045EBB">
                <w:rPr>
                  <w:rStyle w:val="Hyperlink"/>
                  <w:sz w:val="18"/>
                  <w:szCs w:val="20"/>
                </w:rPr>
                <w:t>biowaste</w:t>
              </w:r>
              <w:proofErr w:type="spellEnd"/>
              <w:r w:rsidR="00045EBB" w:rsidRPr="00045EBB">
                <w:rPr>
                  <w:rStyle w:val="Hyperlink"/>
                  <w:sz w:val="18"/>
                  <w:szCs w:val="20"/>
                </w:rPr>
                <w:t xml:space="preserve"> processing facilities</w:t>
              </w:r>
            </w:hyperlink>
          </w:p>
        </w:tc>
      </w:tr>
      <w:tr w:rsidR="00045EBB" w:rsidRPr="00045EBB" w:rsidTr="00AF6805">
        <w:tc>
          <w:tcPr>
            <w:tcW w:w="1258" w:type="pct"/>
          </w:tcPr>
          <w:p w:rsidR="00045EBB" w:rsidRPr="00AF6805" w:rsidRDefault="00045EBB" w:rsidP="00045EBB">
            <w:pPr>
              <w:spacing w:after="120"/>
              <w:rPr>
                <w:sz w:val="18"/>
                <w:szCs w:val="20"/>
              </w:rPr>
            </w:pPr>
            <w:r w:rsidRPr="00AF6805">
              <w:rPr>
                <w:sz w:val="18"/>
                <w:szCs w:val="20"/>
              </w:rPr>
              <w:t>38</w:t>
            </w:r>
          </w:p>
        </w:tc>
        <w:tc>
          <w:tcPr>
            <w:tcW w:w="3742" w:type="pct"/>
          </w:tcPr>
          <w:p w:rsidR="00045EBB" w:rsidRPr="00045EBB" w:rsidRDefault="00461A6C" w:rsidP="008B1233">
            <w:pPr>
              <w:rPr>
                <w:sz w:val="18"/>
                <w:szCs w:val="18"/>
              </w:rPr>
            </w:pPr>
            <w:hyperlink r:id="rId26" w:history="1">
              <w:r w:rsidR="00045EBB" w:rsidRPr="00045EBB">
                <w:rPr>
                  <w:rStyle w:val="Hyperlink"/>
                  <w:sz w:val="18"/>
                  <w:szCs w:val="20"/>
                </w:rPr>
                <w:t>Environment Agency (2010) Composting and potential health effects from bioaerosols</w:t>
              </w:r>
            </w:hyperlink>
          </w:p>
        </w:tc>
      </w:tr>
      <w:tr w:rsidR="00045EBB" w:rsidRPr="00045EBB" w:rsidTr="00AF6805">
        <w:tc>
          <w:tcPr>
            <w:tcW w:w="1258" w:type="pct"/>
          </w:tcPr>
          <w:p w:rsidR="00045EBB" w:rsidRPr="00AF6805" w:rsidRDefault="00045EBB" w:rsidP="00045EBB">
            <w:pPr>
              <w:spacing w:after="120"/>
              <w:rPr>
                <w:sz w:val="18"/>
                <w:szCs w:val="20"/>
              </w:rPr>
            </w:pPr>
            <w:r w:rsidRPr="00AF6805">
              <w:rPr>
                <w:sz w:val="18"/>
                <w:szCs w:val="20"/>
              </w:rPr>
              <w:t>38,39</w:t>
            </w:r>
          </w:p>
        </w:tc>
        <w:tc>
          <w:tcPr>
            <w:tcW w:w="3742" w:type="pct"/>
          </w:tcPr>
          <w:p w:rsidR="00045EBB" w:rsidRPr="00045EBB" w:rsidRDefault="00461A6C" w:rsidP="008B1233">
            <w:pPr>
              <w:rPr>
                <w:sz w:val="18"/>
                <w:szCs w:val="18"/>
              </w:rPr>
            </w:pPr>
            <w:hyperlink r:id="rId27" w:history="1">
              <w:r w:rsidR="00045EBB" w:rsidRPr="00045EBB">
                <w:rPr>
                  <w:rStyle w:val="Hyperlink"/>
                  <w:sz w:val="18"/>
                  <w:szCs w:val="20"/>
                </w:rPr>
                <w:t>Environment Agency (2018) M9 – Environmental monitoring of bioaerosols at regulated facilities</w:t>
              </w:r>
            </w:hyperlink>
          </w:p>
        </w:tc>
      </w:tr>
      <w:tr w:rsidR="00045EBB" w:rsidRPr="00045EBB" w:rsidTr="00AF6805">
        <w:tc>
          <w:tcPr>
            <w:tcW w:w="1258" w:type="pct"/>
          </w:tcPr>
          <w:p w:rsidR="00045EBB" w:rsidRPr="00AF6805" w:rsidRDefault="00045EBB" w:rsidP="00045EBB">
            <w:pPr>
              <w:spacing w:after="120"/>
              <w:rPr>
                <w:sz w:val="18"/>
                <w:szCs w:val="20"/>
              </w:rPr>
            </w:pPr>
            <w:r w:rsidRPr="00AF6805">
              <w:rPr>
                <w:sz w:val="18"/>
                <w:szCs w:val="20"/>
              </w:rPr>
              <w:t>44</w:t>
            </w:r>
          </w:p>
        </w:tc>
        <w:tc>
          <w:tcPr>
            <w:tcW w:w="3742" w:type="pct"/>
          </w:tcPr>
          <w:p w:rsidR="00045EBB" w:rsidRPr="00045EBB" w:rsidRDefault="00461A6C" w:rsidP="008B1233">
            <w:pPr>
              <w:rPr>
                <w:sz w:val="18"/>
                <w:szCs w:val="18"/>
              </w:rPr>
            </w:pPr>
            <w:hyperlink r:id="rId28" w:history="1">
              <w:r w:rsidR="00AF6805" w:rsidRPr="00AF6805">
                <w:rPr>
                  <w:rStyle w:val="Hyperlink"/>
                  <w:sz w:val="18"/>
                  <w:szCs w:val="20"/>
                </w:rPr>
                <w:t>DEFRA (2013) Mechanical Biological Treatment of Municipal Solid Waste</w:t>
              </w:r>
            </w:hyperlink>
          </w:p>
        </w:tc>
      </w:tr>
      <w:tr w:rsidR="00045EBB" w:rsidRPr="00045EBB" w:rsidTr="00AF6805">
        <w:tc>
          <w:tcPr>
            <w:tcW w:w="1258" w:type="pct"/>
          </w:tcPr>
          <w:p w:rsidR="00045EBB" w:rsidRPr="00AF6805" w:rsidRDefault="00045EBB" w:rsidP="00045EBB">
            <w:pPr>
              <w:spacing w:after="120"/>
              <w:rPr>
                <w:sz w:val="18"/>
                <w:szCs w:val="20"/>
              </w:rPr>
            </w:pPr>
            <w:r w:rsidRPr="00AF6805">
              <w:rPr>
                <w:sz w:val="18"/>
                <w:szCs w:val="20"/>
              </w:rPr>
              <w:t>61</w:t>
            </w:r>
          </w:p>
        </w:tc>
        <w:tc>
          <w:tcPr>
            <w:tcW w:w="3742" w:type="pct"/>
          </w:tcPr>
          <w:p w:rsidR="00045EBB" w:rsidRPr="00045EBB" w:rsidRDefault="00461A6C" w:rsidP="008B1233">
            <w:pPr>
              <w:rPr>
                <w:sz w:val="18"/>
                <w:szCs w:val="18"/>
              </w:rPr>
            </w:pPr>
            <w:hyperlink r:id="rId29" w:anchor="accident-prevention-and-management-plan" w:history="1">
              <w:r w:rsidR="00AF6805" w:rsidRPr="00AF6805">
                <w:rPr>
                  <w:rStyle w:val="Hyperlink"/>
                  <w:sz w:val="18"/>
                  <w:szCs w:val="20"/>
                </w:rPr>
                <w:t>DEFRA (2018) Develop a management system: environmental permits</w:t>
              </w:r>
            </w:hyperlink>
          </w:p>
        </w:tc>
      </w:tr>
      <w:tr w:rsidR="00045EBB" w:rsidRPr="00045EBB" w:rsidTr="00AF6805">
        <w:tc>
          <w:tcPr>
            <w:tcW w:w="1258" w:type="pct"/>
          </w:tcPr>
          <w:p w:rsidR="00045EBB" w:rsidRPr="00AF6805" w:rsidRDefault="00045EBB" w:rsidP="00045EBB">
            <w:pPr>
              <w:spacing w:after="120"/>
              <w:rPr>
                <w:sz w:val="18"/>
                <w:szCs w:val="20"/>
              </w:rPr>
            </w:pPr>
            <w:r w:rsidRPr="00AF6805">
              <w:rPr>
                <w:sz w:val="18"/>
                <w:szCs w:val="20"/>
              </w:rPr>
              <w:t>61</w:t>
            </w:r>
          </w:p>
        </w:tc>
        <w:tc>
          <w:tcPr>
            <w:tcW w:w="3742" w:type="pct"/>
          </w:tcPr>
          <w:p w:rsidR="00045EBB" w:rsidRPr="00045EBB" w:rsidRDefault="00461A6C" w:rsidP="008B1233">
            <w:pPr>
              <w:rPr>
                <w:sz w:val="18"/>
                <w:szCs w:val="18"/>
              </w:rPr>
            </w:pPr>
            <w:hyperlink r:id="rId30" w:history="1">
              <w:r w:rsidR="00AF6805" w:rsidRPr="00AF6805">
                <w:rPr>
                  <w:rStyle w:val="Hyperlink"/>
                  <w:sz w:val="18"/>
                  <w:szCs w:val="20"/>
                </w:rPr>
                <w:t>Natural Resources Wales (2018) Environment Management Toolkit</w:t>
              </w:r>
            </w:hyperlink>
          </w:p>
        </w:tc>
      </w:tr>
    </w:tbl>
    <w:p w:rsidR="00A6136C" w:rsidRPr="00AF6805" w:rsidRDefault="00C02BF3" w:rsidP="00AF6805">
      <w:pPr>
        <w:spacing w:before="240"/>
        <w:rPr>
          <w:i/>
          <w:sz w:val="18"/>
        </w:rPr>
      </w:pPr>
      <w:r w:rsidRPr="00AF6805">
        <w:rPr>
          <w:b/>
          <w:i/>
          <w:sz w:val="18"/>
        </w:rPr>
        <w:lastRenderedPageBreak/>
        <w:t>Please note:</w:t>
      </w:r>
      <w:r w:rsidRPr="00AF6805">
        <w:rPr>
          <w:i/>
          <w:sz w:val="18"/>
        </w:rPr>
        <w:t xml:space="preserve"> this information was correct at the time of publishing. If you find these links are broken, type the document title into a search engine.</w:t>
      </w:r>
    </w:p>
    <w:tbl>
      <w:tblPr>
        <w:tblStyle w:val="TableGrid"/>
        <w:tblW w:w="0" w:type="auto"/>
        <w:tblLook w:val="04A0" w:firstRow="1" w:lastRow="0" w:firstColumn="1" w:lastColumn="0" w:noHBand="0" w:noVBand="1"/>
      </w:tblPr>
      <w:tblGrid>
        <w:gridCol w:w="4375"/>
      </w:tblGrid>
      <w:tr w:rsidR="00A6136C" w:rsidTr="00A6136C">
        <w:tc>
          <w:tcPr>
            <w:tcW w:w="4375" w:type="dxa"/>
            <w:tcBorders>
              <w:top w:val="single" w:sz="4" w:space="0" w:color="7030A0"/>
              <w:left w:val="single" w:sz="4" w:space="0" w:color="7030A0"/>
              <w:bottom w:val="single" w:sz="4" w:space="0" w:color="7030A0"/>
              <w:right w:val="single" w:sz="4" w:space="0" w:color="7030A0"/>
            </w:tcBorders>
            <w:shd w:val="clear" w:color="auto" w:fill="E5DFEC" w:themeFill="accent4" w:themeFillTint="33"/>
          </w:tcPr>
          <w:p w:rsidR="00AF6805" w:rsidRPr="00AF6805" w:rsidRDefault="00AF6805" w:rsidP="00A6136C">
            <w:pPr>
              <w:rPr>
                <w:b/>
                <w:sz w:val="6"/>
              </w:rPr>
            </w:pPr>
          </w:p>
          <w:p w:rsidR="00A6136C" w:rsidRDefault="00A6136C" w:rsidP="00A6136C">
            <w:pPr>
              <w:rPr>
                <w:b/>
              </w:rPr>
            </w:pPr>
            <w:r>
              <w:rPr>
                <w:b/>
              </w:rPr>
              <w:t>About this sheet</w:t>
            </w:r>
          </w:p>
          <w:p w:rsidR="00A6136C" w:rsidRDefault="00A6136C" w:rsidP="00A6136C">
            <w:pPr>
              <w:spacing w:before="240"/>
              <w:rPr>
                <w:i/>
              </w:rPr>
            </w:pPr>
            <w:r w:rsidRPr="00AA6976">
              <w:rPr>
                <w:i/>
              </w:rPr>
              <w:t xml:space="preserve">The Continuing Competence Free Update Sheet is designed to be used by purchasers of the Continuing Competence Revision Guides for the 2016-2018 period. </w:t>
            </w:r>
          </w:p>
          <w:p w:rsidR="00A6136C" w:rsidRPr="00AA6976" w:rsidRDefault="00A6136C" w:rsidP="00A6136C">
            <w:pPr>
              <w:rPr>
                <w:i/>
              </w:rPr>
            </w:pPr>
          </w:p>
          <w:p w:rsidR="00A6136C" w:rsidRPr="00AA6976" w:rsidRDefault="00A6136C" w:rsidP="00A6136C">
            <w:pPr>
              <w:rPr>
                <w:i/>
              </w:rPr>
            </w:pPr>
            <w:r w:rsidRPr="00AA6976">
              <w:rPr>
                <w:i/>
              </w:rPr>
              <w:t>It will highlight any changes in technical guidance and sources used as a basis for the Continuing Competence question bank to support the revision of users.</w:t>
            </w:r>
          </w:p>
          <w:p w:rsidR="00A6136C" w:rsidRPr="00AF6805" w:rsidRDefault="00A6136C" w:rsidP="00A6136C">
            <w:pPr>
              <w:rPr>
                <w:i/>
                <w:sz w:val="8"/>
              </w:rPr>
            </w:pPr>
          </w:p>
        </w:tc>
      </w:tr>
    </w:tbl>
    <w:p w:rsidR="00A6136C" w:rsidRDefault="00A6136C" w:rsidP="003F6D66">
      <w:pPr>
        <w:spacing w:after="0"/>
        <w:rPr>
          <w:b/>
        </w:rPr>
      </w:pPr>
    </w:p>
    <w:p w:rsidR="00A6136C" w:rsidRDefault="00A6136C" w:rsidP="00A6136C">
      <w:pPr>
        <w:rPr>
          <w:b/>
        </w:rPr>
      </w:pPr>
      <w:r>
        <w:rPr>
          <w:b/>
        </w:rPr>
        <w:t>Frequently Asked Questions (FAQs)</w:t>
      </w:r>
    </w:p>
    <w:p w:rsidR="00A6136C" w:rsidRPr="00F02619" w:rsidRDefault="00A6136C" w:rsidP="00A6136C">
      <w:pPr>
        <w:rPr>
          <w:i/>
          <w:color w:val="7030A0"/>
        </w:rPr>
      </w:pPr>
      <w:r w:rsidRPr="00F02619">
        <w:rPr>
          <w:i/>
          <w:color w:val="7030A0"/>
        </w:rPr>
        <w:t>How much does the test cost?</w:t>
      </w:r>
    </w:p>
    <w:p w:rsidR="00A6136C" w:rsidRDefault="00A6136C" w:rsidP="00A6136C">
      <w:r>
        <w:t xml:space="preserve">Each test costs </w:t>
      </w:r>
      <w:r w:rsidRPr="00964157">
        <w:rPr>
          <w:b/>
          <w:u w:val="single"/>
        </w:rPr>
        <w:t>£139</w:t>
      </w:r>
      <w:r>
        <w:t xml:space="preserve"> irrespective of the number of Activity Specific Tests chosen (a maximum of three activity specific tests can be taken at one time).</w:t>
      </w:r>
    </w:p>
    <w:p w:rsidR="00A6136C" w:rsidRPr="00F02619" w:rsidRDefault="00A6136C" w:rsidP="00A6136C">
      <w:pPr>
        <w:rPr>
          <w:i/>
          <w:color w:val="7030A0"/>
        </w:rPr>
      </w:pPr>
      <w:r w:rsidRPr="00F02619">
        <w:rPr>
          <w:i/>
          <w:color w:val="7030A0"/>
        </w:rPr>
        <w:t>What form of personal identification can I use at the test centre?</w:t>
      </w:r>
    </w:p>
    <w:p w:rsidR="00A6136C" w:rsidRDefault="00A6136C" w:rsidP="00A6136C">
      <w:pPr>
        <w:pStyle w:val="ListParagraph"/>
        <w:numPr>
          <w:ilvl w:val="0"/>
          <w:numId w:val="1"/>
        </w:numPr>
      </w:pPr>
      <w:r>
        <w:t>A valid signed passport of any country with your photograph and signature.</w:t>
      </w:r>
    </w:p>
    <w:p w:rsidR="00A6136C" w:rsidRDefault="00A6136C" w:rsidP="00A6136C">
      <w:pPr>
        <w:pStyle w:val="ListParagraph"/>
        <w:numPr>
          <w:ilvl w:val="0"/>
          <w:numId w:val="1"/>
        </w:numPr>
      </w:pPr>
      <w:r>
        <w:t>A valid signed UK photo card driving licence (full or provisional).</w:t>
      </w:r>
    </w:p>
    <w:p w:rsidR="00A6136C" w:rsidRPr="008A2290" w:rsidRDefault="00A6136C" w:rsidP="00A6136C">
      <w:pPr>
        <w:pStyle w:val="ListParagraph"/>
        <w:numPr>
          <w:ilvl w:val="0"/>
          <w:numId w:val="1"/>
        </w:numPr>
      </w:pPr>
      <w:r>
        <w:t>If you have none of these, you may present a Citizen’s ID Card.</w:t>
      </w:r>
    </w:p>
    <w:p w:rsidR="00A6136C" w:rsidRDefault="00A6136C" w:rsidP="00A6136C">
      <w:pPr>
        <w:rPr>
          <w:i/>
          <w:color w:val="7030A0"/>
        </w:rPr>
      </w:pPr>
      <w:r>
        <w:rPr>
          <w:i/>
          <w:color w:val="7030A0"/>
        </w:rPr>
        <w:t>How can I find out if I have passed the test?</w:t>
      </w:r>
    </w:p>
    <w:p w:rsidR="003F6D66" w:rsidRDefault="00A6136C" w:rsidP="00286918">
      <w:r>
        <w:t xml:space="preserve">At the end of the test you will receive your score report which provides the scores for each component of the Generic Knowledge Test and the score for each Activity Specific Test you have taken. </w:t>
      </w:r>
    </w:p>
    <w:p w:rsidR="00A6136C" w:rsidRPr="00AB5205" w:rsidRDefault="003F6D66" w:rsidP="00286918">
      <w:r>
        <w:t>T</w:t>
      </w:r>
      <w:r w:rsidR="00A6136C">
        <w:t xml:space="preserve">here is an example on the back of your score report showing how to work out if you’ve passed. Alternatively, you can go to </w:t>
      </w:r>
      <w:hyperlink r:id="rId31" w:history="1">
        <w:r w:rsidR="00A6136C" w:rsidRPr="00902207">
          <w:rPr>
            <w:rStyle w:val="Hyperlink"/>
          </w:rPr>
          <w:t>https://wamitab.org.uk/competence/continuing-competence/test-score-calculator/</w:t>
        </w:r>
      </w:hyperlink>
      <w:r w:rsidR="00A6136C">
        <w:t xml:space="preserve"> and type in your scores.</w:t>
      </w:r>
    </w:p>
    <w:sectPr w:rsidR="00A6136C" w:rsidRPr="00AB5205" w:rsidSect="00A674E5">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735" w:rsidRDefault="00D00735" w:rsidP="00033393">
      <w:pPr>
        <w:spacing w:after="0" w:line="240" w:lineRule="auto"/>
      </w:pPr>
      <w:r>
        <w:separator/>
      </w:r>
    </w:p>
  </w:endnote>
  <w:endnote w:type="continuationSeparator" w:id="0">
    <w:p w:rsidR="00D00735" w:rsidRDefault="00D00735" w:rsidP="0003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577139"/>
      <w:docPartObj>
        <w:docPartGallery w:val="Page Numbers (Bottom of Page)"/>
        <w:docPartUnique/>
      </w:docPartObj>
    </w:sdtPr>
    <w:sdtEndPr/>
    <w:sdtContent>
      <w:sdt>
        <w:sdtPr>
          <w:id w:val="131296036"/>
          <w:docPartObj>
            <w:docPartGallery w:val="Page Numbers (Top of Page)"/>
            <w:docPartUnique/>
          </w:docPartObj>
        </w:sdtPr>
        <w:sdtEndPr/>
        <w:sdtContent>
          <w:p w:rsidR="00D00735" w:rsidRDefault="00D00735" w:rsidP="00FB3587">
            <w:pPr>
              <w:spacing w:after="0"/>
            </w:pPr>
            <w:r>
              <w:rPr>
                <w:noProof/>
                <w:lang w:eastAsia="en-GB"/>
              </w:rPr>
              <mc:AlternateContent>
                <mc:Choice Requires="wps">
                  <w:drawing>
                    <wp:anchor distT="0" distB="0" distL="114300" distR="114300" simplePos="0" relativeHeight="251661312" behindDoc="0" locked="0" layoutInCell="1" allowOverlap="1" wp14:anchorId="4FC51299" wp14:editId="566748F4">
                      <wp:simplePos x="0" y="0"/>
                      <wp:positionH relativeFrom="column">
                        <wp:posOffset>-912495</wp:posOffset>
                      </wp:positionH>
                      <wp:positionV relativeFrom="paragraph">
                        <wp:posOffset>-271051</wp:posOffset>
                      </wp:positionV>
                      <wp:extent cx="7560310" cy="135890"/>
                      <wp:effectExtent l="0" t="0" r="21590" b="16510"/>
                      <wp:wrapNone/>
                      <wp:docPr id="2" name="Rectangle 2"/>
                      <wp:cNvGraphicFramePr/>
                      <a:graphic xmlns:a="http://schemas.openxmlformats.org/drawingml/2006/main">
                        <a:graphicData uri="http://schemas.microsoft.com/office/word/2010/wordprocessingShape">
                          <wps:wsp>
                            <wps:cNvSpPr/>
                            <wps:spPr>
                              <a:xfrm>
                                <a:off x="0" y="0"/>
                                <a:ext cx="7560310" cy="135890"/>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71.85pt;margin-top:-21.35pt;width:595.3pt;height:10.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" fillcolor="#7030a0" strokecolor="#7030a0" strokeweight="2pt"/>
                  </w:pict>
                </mc:Fallback>
              </mc:AlternateContent>
            </w:r>
            <w:r w:rsidRPr="00FB3587">
              <w:t xml:space="preserve"> </w:t>
            </w:r>
            <w:sdt>
              <w:sdtPr>
                <w:id w:val="-1800367147"/>
                <w:docPartObj>
                  <w:docPartGallery w:val="Page Numbers (Bottom of Page)"/>
                  <w:docPartUnique/>
                </w:docPartObj>
              </w:sdtPr>
              <w:sdtEndPr/>
              <w:sdtContent>
                <w:sdt>
                  <w:sdtPr>
                    <w:id w:val="-1348006496"/>
                    <w:docPartObj>
                      <w:docPartGallery w:val="Page Numbers (Top of Page)"/>
                      <w:docPartUnique/>
                    </w:docPartObj>
                  </w:sdtPr>
                  <w:sdtEndPr/>
                  <w:sdtContent>
                    <w:sdt>
                      <w:sdtPr>
                        <w:id w:val="43805579"/>
                        <w:docPartObj>
                          <w:docPartGallery w:val="Page Numbers (Top of Page)"/>
                          <w:docPartUnique/>
                        </w:docPartObj>
                      </w:sdtPr>
                      <w:sdtEndPr/>
                      <w:sdtContent>
                        <w:r>
                          <w:rPr>
                            <w:rFonts w:ascii="Calibri" w:hAnsi="Calibri"/>
                            <w:color w:val="000000"/>
                          </w:rPr>
                          <w:t>Copyright ©2019</w:t>
                        </w:r>
                        <w:r w:rsidRPr="00EE1BFB">
                          <w:rPr>
                            <w:rFonts w:ascii="Calibri" w:hAnsi="Calibri"/>
                            <w:color w:val="000000"/>
                          </w:rPr>
                          <w:t xml:space="preserve"> </w:t>
                        </w:r>
                        <w:r>
                          <w:rPr>
                            <w:rFonts w:ascii="Calibri" w:hAnsi="Calibri"/>
                            <w:color w:val="000000"/>
                          </w:rPr>
                          <w:t xml:space="preserve">WAMITAB                                                                                                   </w:t>
                        </w:r>
                        <w:r w:rsidRPr="00962130">
                          <w:t xml:space="preserve">Page </w:t>
                        </w:r>
                        <w:r w:rsidRPr="00962130">
                          <w:rPr>
                            <w:b/>
                          </w:rPr>
                          <w:fldChar w:fldCharType="begin"/>
                        </w:r>
                        <w:r w:rsidRPr="00962130">
                          <w:rPr>
                            <w:b/>
                          </w:rPr>
                          <w:instrText xml:space="preserve"> PAGE </w:instrText>
                        </w:r>
                        <w:r w:rsidRPr="00962130">
                          <w:rPr>
                            <w:b/>
                          </w:rPr>
                          <w:fldChar w:fldCharType="separate"/>
                        </w:r>
                        <w:r w:rsidR="00461A6C">
                          <w:rPr>
                            <w:b/>
                            <w:noProof/>
                          </w:rPr>
                          <w:t>4</w:t>
                        </w:r>
                        <w:r w:rsidRPr="00962130">
                          <w:rPr>
                            <w:b/>
                          </w:rPr>
                          <w:fldChar w:fldCharType="end"/>
                        </w:r>
                        <w:r w:rsidRPr="00962130">
                          <w:t xml:space="preserve"> of </w:t>
                        </w:r>
                        <w:r w:rsidRPr="00962130">
                          <w:rPr>
                            <w:b/>
                          </w:rPr>
                          <w:fldChar w:fldCharType="begin"/>
                        </w:r>
                        <w:r w:rsidRPr="00962130">
                          <w:rPr>
                            <w:b/>
                          </w:rPr>
                          <w:instrText xml:space="preserve"> NUMPAGES  </w:instrText>
                        </w:r>
                        <w:r w:rsidRPr="00962130">
                          <w:rPr>
                            <w:b/>
                          </w:rPr>
                          <w:fldChar w:fldCharType="separate"/>
                        </w:r>
                        <w:r w:rsidR="00461A6C">
                          <w:rPr>
                            <w:b/>
                            <w:noProof/>
                          </w:rPr>
                          <w:t>4</w:t>
                        </w:r>
                        <w:r w:rsidRPr="00962130">
                          <w:rPr>
                            <w:b/>
                          </w:rPr>
                          <w:fldChar w:fldCharType="end"/>
                        </w:r>
                      </w:sdtContent>
                    </w:sdt>
                  </w:sdtContent>
                </w:sdt>
              </w:sdtContent>
            </w:sdt>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735" w:rsidRDefault="00D00735" w:rsidP="00033393">
      <w:pPr>
        <w:spacing w:after="0" w:line="240" w:lineRule="auto"/>
      </w:pPr>
      <w:r>
        <w:separator/>
      </w:r>
    </w:p>
  </w:footnote>
  <w:footnote w:type="continuationSeparator" w:id="0">
    <w:p w:rsidR="00D00735" w:rsidRDefault="00D00735" w:rsidP="00033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735" w:rsidRPr="00033393" w:rsidRDefault="00D00735">
    <w:pPr>
      <w:pStyle w:val="Header"/>
      <w:rPr>
        <w:b/>
      </w:rPr>
    </w:pPr>
    <w:r w:rsidRPr="00033393">
      <w:rPr>
        <w:b/>
        <w:noProof/>
        <w:lang w:eastAsia="en-GB"/>
      </w:rPr>
      <mc:AlternateContent>
        <mc:Choice Requires="wps">
          <w:drawing>
            <wp:anchor distT="0" distB="0" distL="114300" distR="114300" simplePos="0" relativeHeight="251659264" behindDoc="0" locked="0" layoutInCell="1" allowOverlap="1" wp14:anchorId="4214F5D7" wp14:editId="392807EE">
              <wp:simplePos x="0" y="0"/>
              <wp:positionH relativeFrom="column">
                <wp:posOffset>-914400</wp:posOffset>
              </wp:positionH>
              <wp:positionV relativeFrom="paragraph">
                <wp:posOffset>314695</wp:posOffset>
              </wp:positionV>
              <wp:extent cx="7560860" cy="136477"/>
              <wp:effectExtent l="0" t="0" r="21590" b="16510"/>
              <wp:wrapNone/>
              <wp:docPr id="1" name="Rectangle 1"/>
              <wp:cNvGraphicFramePr/>
              <a:graphic xmlns:a="http://schemas.openxmlformats.org/drawingml/2006/main">
                <a:graphicData uri="http://schemas.microsoft.com/office/word/2010/wordprocessingShape">
                  <wps:wsp>
                    <wps:cNvSpPr/>
                    <wps:spPr>
                      <a:xfrm>
                        <a:off x="0" y="0"/>
                        <a:ext cx="7560860" cy="136477"/>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in;margin-top:24.8pt;width:595.35pt;height:1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" fillcolor="#7030a0" strokecolor="#7030a0" strokeweight="2pt"/>
          </w:pict>
        </mc:Fallback>
      </mc:AlternateContent>
    </w:r>
    <w:r w:rsidRPr="00033393">
      <w:rPr>
        <w:b/>
      </w:rPr>
      <w:t>Continuing Competence</w:t>
    </w:r>
    <w:r w:rsidRPr="00033393">
      <w:rPr>
        <w:b/>
      </w:rPr>
      <w:ptab w:relativeTo="margin" w:alignment="center" w:leader="none"/>
    </w:r>
    <w:r w:rsidRPr="00033393">
      <w:rPr>
        <w:b/>
      </w:rPr>
      <w:t>Free Update Sheet</w:t>
    </w:r>
    <w:r w:rsidRPr="00033393">
      <w:rPr>
        <w:b/>
      </w:rPr>
      <w:ptab w:relativeTo="margin" w:alignment="right" w:leader="none"/>
    </w:r>
    <w:r w:rsidRPr="00033393">
      <w:rPr>
        <w:b/>
      </w:rPr>
      <w:t>Period 2019-2021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A6630"/>
    <w:multiLevelType w:val="hybridMultilevel"/>
    <w:tmpl w:val="F836D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30A7538"/>
    <w:multiLevelType w:val="hybridMultilevel"/>
    <w:tmpl w:val="5F607A62"/>
    <w:lvl w:ilvl="0" w:tplc="D88040BA">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A90B17"/>
    <w:multiLevelType w:val="hybridMultilevel"/>
    <w:tmpl w:val="24BE0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07F3EF0"/>
    <w:multiLevelType w:val="hybridMultilevel"/>
    <w:tmpl w:val="993ABE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D900997"/>
    <w:multiLevelType w:val="hybridMultilevel"/>
    <w:tmpl w:val="205A7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E7B2927"/>
    <w:multiLevelType w:val="hybridMultilevel"/>
    <w:tmpl w:val="FBEE8B4E"/>
    <w:lvl w:ilvl="0" w:tplc="20A6C84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005908"/>
    <w:multiLevelType w:val="hybridMultilevel"/>
    <w:tmpl w:val="B9C8B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2D656DF"/>
    <w:multiLevelType w:val="hybridMultilevel"/>
    <w:tmpl w:val="5AA60D82"/>
    <w:lvl w:ilvl="0" w:tplc="EEB2E90E">
      <w:start w:val="9"/>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2F90039"/>
    <w:multiLevelType w:val="hybridMultilevel"/>
    <w:tmpl w:val="59C433F8"/>
    <w:lvl w:ilvl="0" w:tplc="20A6C848">
      <w:start w:val="1"/>
      <w:numFmt w:val="bullet"/>
      <w:lvlText w:val="–"/>
      <w:lvlJc w:val="left"/>
      <w:pPr>
        <w:ind w:left="754" w:hanging="360"/>
      </w:pPr>
      <w:rPr>
        <w:rFonts w:ascii="Courier New" w:hAnsi="Courier New" w:hint="default"/>
      </w:rPr>
    </w:lvl>
    <w:lvl w:ilvl="1" w:tplc="08090003">
      <w:start w:val="1"/>
      <w:numFmt w:val="bullet"/>
      <w:lvlText w:val="o"/>
      <w:lvlJc w:val="left"/>
      <w:pPr>
        <w:ind w:left="1474" w:hanging="360"/>
      </w:pPr>
      <w:rPr>
        <w:rFonts w:ascii="Courier New" w:hAnsi="Courier New" w:cs="Courier New" w:hint="default"/>
      </w:rPr>
    </w:lvl>
    <w:lvl w:ilvl="2" w:tplc="08090005">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nsid w:val="44ED0D4A"/>
    <w:multiLevelType w:val="hybridMultilevel"/>
    <w:tmpl w:val="27DA5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4B91606"/>
    <w:multiLevelType w:val="hybridMultilevel"/>
    <w:tmpl w:val="42960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37E2792"/>
    <w:multiLevelType w:val="hybridMultilevel"/>
    <w:tmpl w:val="B08EA85C"/>
    <w:lvl w:ilvl="0" w:tplc="20A6C848">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4085CA3"/>
    <w:multiLevelType w:val="hybridMultilevel"/>
    <w:tmpl w:val="5F60453A"/>
    <w:lvl w:ilvl="0" w:tplc="08090001">
      <w:start w:val="1"/>
      <w:numFmt w:val="bullet"/>
      <w:lvlText w:val=""/>
      <w:lvlJc w:val="left"/>
      <w:pPr>
        <w:ind w:left="360" w:hanging="360"/>
      </w:pPr>
      <w:rPr>
        <w:rFonts w:ascii="Symbol" w:hAnsi="Symbol" w:hint="default"/>
      </w:rPr>
    </w:lvl>
    <w:lvl w:ilvl="1" w:tplc="20A6C84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34E388E"/>
    <w:multiLevelType w:val="hybridMultilevel"/>
    <w:tmpl w:val="B68A5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3F0046A"/>
    <w:multiLevelType w:val="hybridMultilevel"/>
    <w:tmpl w:val="2A9E4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3F8365D"/>
    <w:multiLevelType w:val="hybridMultilevel"/>
    <w:tmpl w:val="81EEE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3"/>
  </w:num>
  <w:num w:numId="4">
    <w:abstractNumId w:val="6"/>
  </w:num>
  <w:num w:numId="5">
    <w:abstractNumId w:val="7"/>
  </w:num>
  <w:num w:numId="6">
    <w:abstractNumId w:val="15"/>
  </w:num>
  <w:num w:numId="7">
    <w:abstractNumId w:val="9"/>
  </w:num>
  <w:num w:numId="8">
    <w:abstractNumId w:val="1"/>
  </w:num>
  <w:num w:numId="9">
    <w:abstractNumId w:val="14"/>
  </w:num>
  <w:num w:numId="10">
    <w:abstractNumId w:val="3"/>
  </w:num>
  <w:num w:numId="11">
    <w:abstractNumId w:val="0"/>
  </w:num>
  <w:num w:numId="12">
    <w:abstractNumId w:val="8"/>
  </w:num>
  <w:num w:numId="13">
    <w:abstractNumId w:val="12"/>
  </w:num>
  <w:num w:numId="14">
    <w:abstractNumId w:val="5"/>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CA7"/>
    <w:rsid w:val="0001238C"/>
    <w:rsid w:val="000218C2"/>
    <w:rsid w:val="0002797C"/>
    <w:rsid w:val="00033393"/>
    <w:rsid w:val="00045EBB"/>
    <w:rsid w:val="00073937"/>
    <w:rsid w:val="000C3A3D"/>
    <w:rsid w:val="000F3DA1"/>
    <w:rsid w:val="0012487E"/>
    <w:rsid w:val="001A580F"/>
    <w:rsid w:val="002121E4"/>
    <w:rsid w:val="00286918"/>
    <w:rsid w:val="00327D79"/>
    <w:rsid w:val="003321AB"/>
    <w:rsid w:val="003650A0"/>
    <w:rsid w:val="003F6D66"/>
    <w:rsid w:val="004252F6"/>
    <w:rsid w:val="00440CA7"/>
    <w:rsid w:val="00461A6C"/>
    <w:rsid w:val="004B17D1"/>
    <w:rsid w:val="005607D4"/>
    <w:rsid w:val="00616296"/>
    <w:rsid w:val="00662D4A"/>
    <w:rsid w:val="0069215B"/>
    <w:rsid w:val="00714015"/>
    <w:rsid w:val="007351FA"/>
    <w:rsid w:val="00764DF5"/>
    <w:rsid w:val="007A593D"/>
    <w:rsid w:val="007B7B51"/>
    <w:rsid w:val="007F54A2"/>
    <w:rsid w:val="00804525"/>
    <w:rsid w:val="00871BBE"/>
    <w:rsid w:val="008A2290"/>
    <w:rsid w:val="008B1233"/>
    <w:rsid w:val="008D4A6E"/>
    <w:rsid w:val="00964157"/>
    <w:rsid w:val="009740CB"/>
    <w:rsid w:val="00986609"/>
    <w:rsid w:val="009B5506"/>
    <w:rsid w:val="00A6136C"/>
    <w:rsid w:val="00A64866"/>
    <w:rsid w:val="00A674E5"/>
    <w:rsid w:val="00A97B72"/>
    <w:rsid w:val="00AA6976"/>
    <w:rsid w:val="00AB5205"/>
    <w:rsid w:val="00AE4804"/>
    <w:rsid w:val="00AF66EC"/>
    <w:rsid w:val="00AF6805"/>
    <w:rsid w:val="00B12141"/>
    <w:rsid w:val="00B15D2A"/>
    <w:rsid w:val="00BA4C81"/>
    <w:rsid w:val="00BB19E9"/>
    <w:rsid w:val="00BC7B41"/>
    <w:rsid w:val="00BE5446"/>
    <w:rsid w:val="00C02BF3"/>
    <w:rsid w:val="00C20806"/>
    <w:rsid w:val="00C42E9B"/>
    <w:rsid w:val="00CA2673"/>
    <w:rsid w:val="00D00735"/>
    <w:rsid w:val="00D90EA2"/>
    <w:rsid w:val="00DB0056"/>
    <w:rsid w:val="00E76096"/>
    <w:rsid w:val="00E81B4E"/>
    <w:rsid w:val="00E961A5"/>
    <w:rsid w:val="00F02619"/>
    <w:rsid w:val="00F029FD"/>
    <w:rsid w:val="00FB3587"/>
    <w:rsid w:val="00FB37B5"/>
    <w:rsid w:val="00FF5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6918"/>
    <w:pPr>
      <w:keepNext/>
      <w:keepLines/>
      <w:spacing w:after="240"/>
      <w:outlineLvl w:val="1"/>
    </w:pPr>
    <w:rPr>
      <w:rFonts w:ascii="Calibri" w:eastAsia="Times New Roman" w:hAnsi="Calibri" w:cs="Times New Roman"/>
      <w:b/>
      <w:bCs/>
      <w:color w:val="8064A2" w:themeColor="accent4"/>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393"/>
  </w:style>
  <w:style w:type="paragraph" w:styleId="Footer">
    <w:name w:val="footer"/>
    <w:basedOn w:val="Normal"/>
    <w:link w:val="FooterChar"/>
    <w:uiPriority w:val="99"/>
    <w:unhideWhenUsed/>
    <w:rsid w:val="00033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393"/>
  </w:style>
  <w:style w:type="paragraph" w:styleId="BalloonText">
    <w:name w:val="Balloon Text"/>
    <w:basedOn w:val="Normal"/>
    <w:link w:val="BalloonTextChar"/>
    <w:uiPriority w:val="99"/>
    <w:semiHidden/>
    <w:unhideWhenUsed/>
    <w:rsid w:val="00033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393"/>
    <w:rPr>
      <w:rFonts w:ascii="Tahoma" w:hAnsi="Tahoma" w:cs="Tahoma"/>
      <w:sz w:val="16"/>
      <w:szCs w:val="16"/>
    </w:rPr>
  </w:style>
  <w:style w:type="table" w:styleId="TableGrid">
    <w:name w:val="Table Grid"/>
    <w:basedOn w:val="TableNormal"/>
    <w:uiPriority w:val="59"/>
    <w:rsid w:val="00BE5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2619"/>
    <w:pPr>
      <w:ind w:left="720"/>
      <w:contextualSpacing/>
    </w:pPr>
  </w:style>
  <w:style w:type="character" w:styleId="Hyperlink">
    <w:name w:val="Hyperlink"/>
    <w:basedOn w:val="DefaultParagraphFont"/>
    <w:uiPriority w:val="99"/>
    <w:unhideWhenUsed/>
    <w:rsid w:val="00F02619"/>
    <w:rPr>
      <w:color w:val="0000FF" w:themeColor="hyperlink"/>
      <w:u w:val="single"/>
    </w:rPr>
  </w:style>
  <w:style w:type="table" w:styleId="LightShading-Accent4">
    <w:name w:val="Light Shading Accent 4"/>
    <w:basedOn w:val="TableNormal"/>
    <w:uiPriority w:val="60"/>
    <w:rsid w:val="00C02BF3"/>
    <w:pPr>
      <w:spacing w:after="0" w:line="240" w:lineRule="auto"/>
    </w:pPr>
    <w:rPr>
      <w:rFonts w:eastAsiaTheme="minorEastAsia"/>
      <w:color w:val="5F497A" w:themeColor="accent4" w:themeShade="BF"/>
      <w:lang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2Char">
    <w:name w:val="Heading 2 Char"/>
    <w:basedOn w:val="DefaultParagraphFont"/>
    <w:link w:val="Heading2"/>
    <w:uiPriority w:val="9"/>
    <w:rsid w:val="00286918"/>
    <w:rPr>
      <w:rFonts w:ascii="Calibri" w:eastAsia="Times New Roman" w:hAnsi="Calibri" w:cs="Times New Roman"/>
      <w:b/>
      <w:bCs/>
      <w:color w:val="8064A2" w:themeColor="accent4"/>
      <w:sz w:val="26"/>
      <w:szCs w:val="26"/>
      <w:lang w:eastAsia="en-GB"/>
    </w:rPr>
  </w:style>
  <w:style w:type="paragraph" w:customStyle="1" w:styleId="Quick">
    <w:name w:val="Quick ­"/>
    <w:basedOn w:val="Normal"/>
    <w:rsid w:val="00804525"/>
    <w:pPr>
      <w:widowControl w:val="0"/>
      <w:spacing w:after="0" w:line="240" w:lineRule="auto"/>
      <w:ind w:left="720" w:hanging="720"/>
    </w:pPr>
    <w:rPr>
      <w:rFonts w:ascii="CG Times" w:eastAsia="Times New Roman" w:hAnsi="CG Times" w:cs="Times New Roman"/>
      <w:snapToGrid w:val="0"/>
      <w:sz w:val="24"/>
      <w:szCs w:val="20"/>
      <w:lang w:val="en-US"/>
    </w:rPr>
  </w:style>
  <w:style w:type="character" w:styleId="CommentReference">
    <w:name w:val="annotation reference"/>
    <w:basedOn w:val="DefaultParagraphFont"/>
    <w:uiPriority w:val="99"/>
    <w:semiHidden/>
    <w:unhideWhenUsed/>
    <w:rsid w:val="00BB19E9"/>
    <w:rPr>
      <w:sz w:val="16"/>
      <w:szCs w:val="16"/>
    </w:rPr>
  </w:style>
  <w:style w:type="paragraph" w:styleId="CommentText">
    <w:name w:val="annotation text"/>
    <w:basedOn w:val="Normal"/>
    <w:link w:val="CommentTextChar"/>
    <w:uiPriority w:val="99"/>
    <w:semiHidden/>
    <w:unhideWhenUsed/>
    <w:rsid w:val="00BB19E9"/>
    <w:pPr>
      <w:spacing w:line="240" w:lineRule="auto"/>
    </w:pPr>
    <w:rPr>
      <w:sz w:val="20"/>
      <w:szCs w:val="20"/>
    </w:rPr>
  </w:style>
  <w:style w:type="character" w:customStyle="1" w:styleId="CommentTextChar">
    <w:name w:val="Comment Text Char"/>
    <w:basedOn w:val="DefaultParagraphFont"/>
    <w:link w:val="CommentText"/>
    <w:uiPriority w:val="99"/>
    <w:semiHidden/>
    <w:rsid w:val="00BB19E9"/>
    <w:rPr>
      <w:sz w:val="20"/>
      <w:szCs w:val="20"/>
    </w:rPr>
  </w:style>
  <w:style w:type="paragraph" w:styleId="CommentSubject">
    <w:name w:val="annotation subject"/>
    <w:basedOn w:val="CommentText"/>
    <w:next w:val="CommentText"/>
    <w:link w:val="CommentSubjectChar"/>
    <w:uiPriority w:val="99"/>
    <w:semiHidden/>
    <w:unhideWhenUsed/>
    <w:rsid w:val="00BB19E9"/>
    <w:rPr>
      <w:b/>
      <w:bCs/>
    </w:rPr>
  </w:style>
  <w:style w:type="character" w:customStyle="1" w:styleId="CommentSubjectChar">
    <w:name w:val="Comment Subject Char"/>
    <w:basedOn w:val="CommentTextChar"/>
    <w:link w:val="CommentSubject"/>
    <w:uiPriority w:val="99"/>
    <w:semiHidden/>
    <w:rsid w:val="00BB19E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6918"/>
    <w:pPr>
      <w:keepNext/>
      <w:keepLines/>
      <w:spacing w:after="240"/>
      <w:outlineLvl w:val="1"/>
    </w:pPr>
    <w:rPr>
      <w:rFonts w:ascii="Calibri" w:eastAsia="Times New Roman" w:hAnsi="Calibri" w:cs="Times New Roman"/>
      <w:b/>
      <w:bCs/>
      <w:color w:val="8064A2" w:themeColor="accent4"/>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393"/>
  </w:style>
  <w:style w:type="paragraph" w:styleId="Footer">
    <w:name w:val="footer"/>
    <w:basedOn w:val="Normal"/>
    <w:link w:val="FooterChar"/>
    <w:uiPriority w:val="99"/>
    <w:unhideWhenUsed/>
    <w:rsid w:val="00033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393"/>
  </w:style>
  <w:style w:type="paragraph" w:styleId="BalloonText">
    <w:name w:val="Balloon Text"/>
    <w:basedOn w:val="Normal"/>
    <w:link w:val="BalloonTextChar"/>
    <w:uiPriority w:val="99"/>
    <w:semiHidden/>
    <w:unhideWhenUsed/>
    <w:rsid w:val="00033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393"/>
    <w:rPr>
      <w:rFonts w:ascii="Tahoma" w:hAnsi="Tahoma" w:cs="Tahoma"/>
      <w:sz w:val="16"/>
      <w:szCs w:val="16"/>
    </w:rPr>
  </w:style>
  <w:style w:type="table" w:styleId="TableGrid">
    <w:name w:val="Table Grid"/>
    <w:basedOn w:val="TableNormal"/>
    <w:uiPriority w:val="59"/>
    <w:rsid w:val="00BE5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2619"/>
    <w:pPr>
      <w:ind w:left="720"/>
      <w:contextualSpacing/>
    </w:pPr>
  </w:style>
  <w:style w:type="character" w:styleId="Hyperlink">
    <w:name w:val="Hyperlink"/>
    <w:basedOn w:val="DefaultParagraphFont"/>
    <w:uiPriority w:val="99"/>
    <w:unhideWhenUsed/>
    <w:rsid w:val="00F02619"/>
    <w:rPr>
      <w:color w:val="0000FF" w:themeColor="hyperlink"/>
      <w:u w:val="single"/>
    </w:rPr>
  </w:style>
  <w:style w:type="table" w:styleId="LightShading-Accent4">
    <w:name w:val="Light Shading Accent 4"/>
    <w:basedOn w:val="TableNormal"/>
    <w:uiPriority w:val="60"/>
    <w:rsid w:val="00C02BF3"/>
    <w:pPr>
      <w:spacing w:after="0" w:line="240" w:lineRule="auto"/>
    </w:pPr>
    <w:rPr>
      <w:rFonts w:eastAsiaTheme="minorEastAsia"/>
      <w:color w:val="5F497A" w:themeColor="accent4" w:themeShade="BF"/>
      <w:lang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2Char">
    <w:name w:val="Heading 2 Char"/>
    <w:basedOn w:val="DefaultParagraphFont"/>
    <w:link w:val="Heading2"/>
    <w:uiPriority w:val="9"/>
    <w:rsid w:val="00286918"/>
    <w:rPr>
      <w:rFonts w:ascii="Calibri" w:eastAsia="Times New Roman" w:hAnsi="Calibri" w:cs="Times New Roman"/>
      <w:b/>
      <w:bCs/>
      <w:color w:val="8064A2" w:themeColor="accent4"/>
      <w:sz w:val="26"/>
      <w:szCs w:val="26"/>
      <w:lang w:eastAsia="en-GB"/>
    </w:rPr>
  </w:style>
  <w:style w:type="paragraph" w:customStyle="1" w:styleId="Quick">
    <w:name w:val="Quick ­"/>
    <w:basedOn w:val="Normal"/>
    <w:rsid w:val="00804525"/>
    <w:pPr>
      <w:widowControl w:val="0"/>
      <w:spacing w:after="0" w:line="240" w:lineRule="auto"/>
      <w:ind w:left="720" w:hanging="720"/>
    </w:pPr>
    <w:rPr>
      <w:rFonts w:ascii="CG Times" w:eastAsia="Times New Roman" w:hAnsi="CG Times" w:cs="Times New Roman"/>
      <w:snapToGrid w:val="0"/>
      <w:sz w:val="24"/>
      <w:szCs w:val="20"/>
      <w:lang w:val="en-US"/>
    </w:rPr>
  </w:style>
  <w:style w:type="character" w:styleId="CommentReference">
    <w:name w:val="annotation reference"/>
    <w:basedOn w:val="DefaultParagraphFont"/>
    <w:uiPriority w:val="99"/>
    <w:semiHidden/>
    <w:unhideWhenUsed/>
    <w:rsid w:val="00BB19E9"/>
    <w:rPr>
      <w:sz w:val="16"/>
      <w:szCs w:val="16"/>
    </w:rPr>
  </w:style>
  <w:style w:type="paragraph" w:styleId="CommentText">
    <w:name w:val="annotation text"/>
    <w:basedOn w:val="Normal"/>
    <w:link w:val="CommentTextChar"/>
    <w:uiPriority w:val="99"/>
    <w:semiHidden/>
    <w:unhideWhenUsed/>
    <w:rsid w:val="00BB19E9"/>
    <w:pPr>
      <w:spacing w:line="240" w:lineRule="auto"/>
    </w:pPr>
    <w:rPr>
      <w:sz w:val="20"/>
      <w:szCs w:val="20"/>
    </w:rPr>
  </w:style>
  <w:style w:type="character" w:customStyle="1" w:styleId="CommentTextChar">
    <w:name w:val="Comment Text Char"/>
    <w:basedOn w:val="DefaultParagraphFont"/>
    <w:link w:val="CommentText"/>
    <w:uiPriority w:val="99"/>
    <w:semiHidden/>
    <w:rsid w:val="00BB19E9"/>
    <w:rPr>
      <w:sz w:val="20"/>
      <w:szCs w:val="20"/>
    </w:rPr>
  </w:style>
  <w:style w:type="paragraph" w:styleId="CommentSubject">
    <w:name w:val="annotation subject"/>
    <w:basedOn w:val="CommentText"/>
    <w:next w:val="CommentText"/>
    <w:link w:val="CommentSubjectChar"/>
    <w:uiPriority w:val="99"/>
    <w:semiHidden/>
    <w:unhideWhenUsed/>
    <w:rsid w:val="00BB19E9"/>
    <w:rPr>
      <w:b/>
      <w:bCs/>
    </w:rPr>
  </w:style>
  <w:style w:type="character" w:customStyle="1" w:styleId="CommentSubjectChar">
    <w:name w:val="Comment Subject Char"/>
    <w:basedOn w:val="CommentTextChar"/>
    <w:link w:val="CommentSubject"/>
    <w:uiPriority w:val="99"/>
    <w:semiHidden/>
    <w:rsid w:val="00BB19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221039/pb13890-treatment-solid-waste.pdf" TargetMode="External"/><Relationship Id="rId18" Type="http://schemas.openxmlformats.org/officeDocument/2006/relationships/hyperlink" Target="https://www.gov.uk/guidance/animal-by-product-categories-site-approval-hygiene-and-disposal" TargetMode="External"/><Relationship Id="rId26" Type="http://schemas.openxmlformats.org/officeDocument/2006/relationships/hyperlink" Target="http://webarchive.nationalarchives.gov.uk/20140328084622/http:/www.environment-agency.gov.uk/static/documents/Research/Composting__bioaerosols.pdf" TargetMode="External"/><Relationship Id="rId3" Type="http://schemas.openxmlformats.org/officeDocument/2006/relationships/styles" Target="styles.xml"/><Relationship Id="rId21" Type="http://schemas.openxmlformats.org/officeDocument/2006/relationships/hyperlink" Target="https://eur-lex.europa.eu/LexUriServ/LexUriServ.do?uri=OJ:L:2004:139:0001:0054:en:PDF" TargetMode="External"/><Relationship Id="rId7" Type="http://schemas.openxmlformats.org/officeDocument/2006/relationships/footnotes" Target="footnotes.xml"/><Relationship Id="rId12" Type="http://schemas.openxmlformats.org/officeDocument/2006/relationships/hyperlink" Target="https://www.gov.uk/government/uploads/system/uploads/attachment_data/file/297215/geho0812bwpl-e-e.pdf" TargetMode="External"/><Relationship Id="rId17" Type="http://schemas.openxmlformats.org/officeDocument/2006/relationships/hyperlink" Target="http://adbioresources.org/uploads/adverts/APHA_Guidance_on_Composting__Biogas_(AS)_of_ABP.pdf" TargetMode="External"/><Relationship Id="rId25" Type="http://schemas.openxmlformats.org/officeDocument/2006/relationships/hyperlink" Target="http://www.organics-recycling.org.uk/dmdocuments/Industry_guide_for_prevention_and_control_of_odours.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uidance/using-animal-by-products-at-compost-and-biogas-sites" TargetMode="External"/><Relationship Id="rId20" Type="http://schemas.openxmlformats.org/officeDocument/2006/relationships/hyperlink" Target="http://www.wrap.org.uk/content/bsi-pas-100-producing-quality-compost" TargetMode="External"/><Relationship Id="rId29" Type="http://schemas.openxmlformats.org/officeDocument/2006/relationships/hyperlink" Target="https://www.gov.uk/guidance/develop-a-management-system-environmental-permi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gov.uk/government/uploads/system/uploads/attachment_data/file/296738/geho0112bwat-e-e.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naturalresources.wales/permits-and-permissions/waste/waste-permits/apply-for-a-new-standard-permit-for-waste-operations/?lang=en" TargetMode="External"/><Relationship Id="rId23" Type="http://schemas.openxmlformats.org/officeDocument/2006/relationships/hyperlink" Target="https://naturalresources.wales/permits-and-permissions/environmental-permits/horizontal-guidance/?lang=en" TargetMode="External"/><Relationship Id="rId28" Type="http://schemas.openxmlformats.org/officeDocument/2006/relationships/hyperlink" Target="https://www.gov.uk/government/uploads/system/uploads/attachment_data/file/221039/pb13890-treatment-solid-waste.pdf" TargetMode="External"/><Relationship Id="rId10" Type="http://schemas.openxmlformats.org/officeDocument/2006/relationships/header" Target="header1.xml"/><Relationship Id="rId19" Type="http://schemas.openxmlformats.org/officeDocument/2006/relationships/hyperlink" Target="https://www.gov.uk/guidance/laboratory-testing-requirements-for-animal-by-products-abps" TargetMode="External"/><Relationship Id="rId31" Type="http://schemas.openxmlformats.org/officeDocument/2006/relationships/hyperlink" Target="https://wamitab.org.uk/competence/continuing-competence/test-score-calculator/"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gov.uk/government/publications/sr2012-no7-composting-in-open-systems" TargetMode="External"/><Relationship Id="rId22" Type="http://schemas.openxmlformats.org/officeDocument/2006/relationships/hyperlink" Target="https://www.gov.uk/government/uploads/system/uploads/attachment_data/file/296737/geho0411btqm-e-e.pdf" TargetMode="External"/><Relationship Id="rId27" Type="http://schemas.openxmlformats.org/officeDocument/2006/relationships/hyperlink" Target="https://assets.publishing.service.gov.uk/government/uploads/system/uploads/attachment_data/file/730226/M9_Environmental_monitoring_of_bioaerosols_at_regulated_facilities.pdf" TargetMode="External"/><Relationship Id="rId30" Type="http://schemas.openxmlformats.org/officeDocument/2006/relationships/hyperlink" Target="https://naturalresources.wales/permits-and-permissions/environmental-permits/environment-management-system/?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3DCE4AF-6FDA-47C3-BD80-5EA54E163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Wamitab</Company>
  <LinksUpToDate>false</LinksUpToDate>
  <CharactersWithSpaces>13597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Kemp</dc:creator>
  <cp:lastModifiedBy>Sophie Howard</cp:lastModifiedBy>
  <cp:revision>2</cp:revision>
  <cp:lastPrinted>2018-11-07T09:57:00Z</cp:lastPrinted>
  <dcterms:created xsi:type="dcterms:W3CDTF">2019-02-18T16:12:00Z</dcterms:created>
  <dcterms:modified xsi:type="dcterms:W3CDTF">2019-02-18T16:12:00Z</dcterms:modified>
</cp:coreProperties>
</file>