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FD3220" w:rsidP="00A6136C">
      <w:pPr>
        <w:spacing w:before="240" w:after="0"/>
        <w:rPr>
          <w:b/>
          <w:color w:val="7030A0"/>
          <w:sz w:val="24"/>
        </w:rPr>
      </w:pPr>
      <w:r>
        <w:rPr>
          <w:b/>
          <w:color w:val="7030A0"/>
          <w:sz w:val="24"/>
        </w:rPr>
        <w:t>End of Life Vehicles</w:t>
      </w:r>
    </w:p>
    <w:p w:rsidR="00A6136C" w:rsidRDefault="00A6136C" w:rsidP="00A6136C">
      <w:pPr>
        <w:spacing w:after="0"/>
        <w:rPr>
          <w:b/>
        </w:rPr>
      </w:pPr>
      <w:r>
        <w:rPr>
          <w:b/>
        </w:rPr>
        <w:t>Content Changes 2016-2018 Revision Guide</w:t>
      </w:r>
    </w:p>
    <w:p w:rsidR="00F478EA" w:rsidRPr="00F478EA" w:rsidRDefault="00F478EA" w:rsidP="00F478EA">
      <w:pPr>
        <w:spacing w:after="0"/>
        <w:rPr>
          <w:rFonts w:ascii="Calibri" w:eastAsia="Calibri" w:hAnsi="Calibri" w:cs="Times New Roman"/>
          <w:b/>
          <w:i/>
        </w:rPr>
      </w:pPr>
      <w:r w:rsidRPr="00F478EA">
        <w:rPr>
          <w:rFonts w:ascii="Calibri" w:eastAsia="Calibri" w:hAnsi="Calibri" w:cs="Times New Roman"/>
          <w:b/>
          <w:i/>
        </w:rPr>
        <w:t xml:space="preserve">All page numbers refer to the 2016-2018 Revision Guides with red covers. </w:t>
      </w:r>
    </w:p>
    <w:p w:rsidR="00F478EA" w:rsidRDefault="00F478EA" w:rsidP="00A6136C">
      <w:pPr>
        <w:spacing w:after="0"/>
        <w:rPr>
          <w:b/>
        </w:rPr>
      </w:pPr>
    </w:p>
    <w:p w:rsidR="00DA45AD" w:rsidRDefault="00DA45AD" w:rsidP="00DA45AD">
      <w:pPr>
        <w:rPr>
          <w:i/>
          <w:color w:val="7030A0"/>
        </w:rPr>
      </w:pPr>
      <w:r>
        <w:rPr>
          <w:i/>
          <w:color w:val="7030A0"/>
        </w:rPr>
        <w:t>Section 4: Procedures for Draining, page 32</w:t>
      </w:r>
    </w:p>
    <w:p w:rsidR="00DA45AD" w:rsidRPr="00DA45AD" w:rsidRDefault="00DA45AD" w:rsidP="00DA45AD">
      <w:pPr>
        <w:rPr>
          <w:sz w:val="24"/>
        </w:rPr>
      </w:pPr>
      <w:r w:rsidRPr="00DA45AD">
        <w:rPr>
          <w:iCs/>
          <w:szCs w:val="20"/>
        </w:rPr>
        <w:t xml:space="preserve">Put vehicles onto depollution frame or lifting device. Drain the </w:t>
      </w:r>
      <w:r w:rsidRPr="009A6511">
        <w:rPr>
          <w:b/>
        </w:rPr>
        <w:t>transmission oil</w:t>
      </w:r>
      <w:r w:rsidRPr="00626FFC">
        <w:t>,</w:t>
      </w:r>
      <w:r w:rsidRPr="00DA45AD">
        <w:rPr>
          <w:iCs/>
          <w:szCs w:val="20"/>
        </w:rPr>
        <w:t xml:space="preserve"> including rear differential (if applicable), for 10 minutes (minimum) </w:t>
      </w:r>
      <w:r w:rsidRPr="00E41D6E">
        <w:t xml:space="preserve">until </w:t>
      </w:r>
      <w:r>
        <w:t>the flow of draining oil has stopped</w:t>
      </w:r>
      <w:r w:rsidRPr="00DA45AD">
        <w:rPr>
          <w:iCs/>
          <w:szCs w:val="20"/>
        </w:rPr>
        <w:t>.</w:t>
      </w:r>
    </w:p>
    <w:p w:rsidR="00DA45AD" w:rsidRPr="00DA45AD" w:rsidRDefault="00DA45AD" w:rsidP="00DA45AD">
      <w:pPr>
        <w:rPr>
          <w:i/>
          <w:color w:val="7030A0"/>
        </w:rPr>
      </w:pPr>
      <w:r w:rsidRPr="00DA45AD">
        <w:rPr>
          <w:i/>
          <w:color w:val="7030A0"/>
        </w:rPr>
        <w:t xml:space="preserve">Section 4: </w:t>
      </w:r>
      <w:r>
        <w:rPr>
          <w:i/>
          <w:color w:val="7030A0"/>
        </w:rPr>
        <w:t>Shock Absorbers and Catalyst Units</w:t>
      </w:r>
      <w:r w:rsidRPr="00DA45AD">
        <w:rPr>
          <w:i/>
          <w:color w:val="7030A0"/>
        </w:rPr>
        <w:t>, page 3</w:t>
      </w:r>
      <w:r>
        <w:rPr>
          <w:i/>
          <w:color w:val="7030A0"/>
        </w:rPr>
        <w:t>4</w:t>
      </w:r>
    </w:p>
    <w:p w:rsidR="00DA45AD" w:rsidRPr="00DA45AD" w:rsidRDefault="00DA45AD" w:rsidP="00DA45AD">
      <w:r>
        <w:t xml:space="preserve">A small number of older vehicles may have a </w:t>
      </w:r>
      <w:r w:rsidRPr="009A6511">
        <w:rPr>
          <w:b/>
        </w:rPr>
        <w:t>hydraulic clutch</w:t>
      </w:r>
      <w:r w:rsidRPr="00626FFC">
        <w:t xml:space="preserve"> and fluid will also need to be extracted from the </w:t>
      </w:r>
      <w:r w:rsidRPr="009A6511">
        <w:rPr>
          <w:b/>
        </w:rPr>
        <w:t>clutch reservoir</w:t>
      </w:r>
      <w:r w:rsidRPr="00626FFC">
        <w:t>.</w:t>
      </w:r>
    </w:p>
    <w:p w:rsidR="009B1D44" w:rsidRDefault="008A2290" w:rsidP="00FD3220">
      <w:pPr>
        <w:rPr>
          <w:i/>
          <w:color w:val="7030A0"/>
        </w:rPr>
      </w:pPr>
      <w:r>
        <w:rPr>
          <w:i/>
          <w:color w:val="7030A0"/>
        </w:rPr>
        <w:t xml:space="preserve">Section </w:t>
      </w:r>
      <w:r w:rsidR="009B1D44">
        <w:rPr>
          <w:i/>
          <w:color w:val="7030A0"/>
        </w:rPr>
        <w:t>6</w:t>
      </w:r>
      <w:r>
        <w:rPr>
          <w:i/>
          <w:color w:val="7030A0"/>
        </w:rPr>
        <w:t>:</w:t>
      </w:r>
      <w:r w:rsidR="009B1D44">
        <w:rPr>
          <w:i/>
          <w:color w:val="7030A0"/>
        </w:rPr>
        <w:t xml:space="preserve"> Consignment Notes and Disposal, page 45</w:t>
      </w:r>
    </w:p>
    <w:p w:rsidR="009B1D44" w:rsidRDefault="009B1D44" w:rsidP="009B1D44">
      <w:r>
        <w:t>The following learning outcomes were amended / added:</w:t>
      </w:r>
    </w:p>
    <w:p w:rsidR="009B1D44" w:rsidRPr="009A6511" w:rsidRDefault="009B1D44" w:rsidP="009B1D44">
      <w:pPr>
        <w:pStyle w:val="ListParagraph"/>
        <w:numPr>
          <w:ilvl w:val="0"/>
          <w:numId w:val="5"/>
        </w:numPr>
        <w:rPr>
          <w:i/>
          <w:color w:val="7030A0"/>
        </w:rPr>
      </w:pPr>
      <w:r w:rsidRPr="009A6511">
        <w:rPr>
          <w:i/>
          <w:color w:val="7030A0"/>
        </w:rPr>
        <w:t>6.4 Know how to complete hazardous wastes consignment notes.</w:t>
      </w:r>
    </w:p>
    <w:p w:rsidR="009B1D44" w:rsidRPr="009A6511" w:rsidRDefault="009B1D44" w:rsidP="009B1D44">
      <w:pPr>
        <w:pStyle w:val="ListParagraph"/>
        <w:numPr>
          <w:ilvl w:val="0"/>
          <w:numId w:val="5"/>
        </w:numPr>
        <w:rPr>
          <w:i/>
          <w:color w:val="7030A0"/>
        </w:rPr>
      </w:pPr>
      <w:r w:rsidRPr="009A6511">
        <w:rPr>
          <w:i/>
          <w:color w:val="7030A0"/>
        </w:rPr>
        <w:t>6.5 Know how long to keep hazardous waste consignment notes and records.</w:t>
      </w:r>
    </w:p>
    <w:p w:rsidR="009B1D44" w:rsidRPr="009A6511" w:rsidRDefault="009B1D44" w:rsidP="009B1D44">
      <w:pPr>
        <w:pStyle w:val="ListParagraph"/>
        <w:numPr>
          <w:ilvl w:val="0"/>
          <w:numId w:val="5"/>
        </w:numPr>
        <w:rPr>
          <w:i/>
          <w:color w:val="7030A0"/>
        </w:rPr>
      </w:pPr>
      <w:r w:rsidRPr="009A6511">
        <w:rPr>
          <w:i/>
          <w:color w:val="7030A0"/>
        </w:rPr>
        <w:t>6.7 Know that mixing hazardous waste without a permit is prohibited.</w:t>
      </w:r>
    </w:p>
    <w:p w:rsidR="00DA45AD" w:rsidRDefault="009B1D44" w:rsidP="009B1D44">
      <w:pPr>
        <w:rPr>
          <w:szCs w:val="20"/>
        </w:rPr>
      </w:pPr>
      <w:r w:rsidRPr="009B1D44">
        <w:rPr>
          <w:szCs w:val="20"/>
        </w:rPr>
        <w:t>For h</w:t>
      </w:r>
      <w:r>
        <w:rPr>
          <w:szCs w:val="20"/>
        </w:rPr>
        <w:t>azardous waste leaving the site,</w:t>
      </w:r>
      <w:r w:rsidRPr="009B1D44">
        <w:rPr>
          <w:szCs w:val="20"/>
        </w:rPr>
        <w:t xml:space="preserve"> a hazardous waste consignment note must be completed and should accompany the hazardous waste until it r</w:t>
      </w:r>
      <w:r w:rsidR="00DA45AD">
        <w:rPr>
          <w:szCs w:val="20"/>
        </w:rPr>
        <w:t>eaches its final destination.</w:t>
      </w:r>
    </w:p>
    <w:p w:rsidR="009B1D44" w:rsidRPr="009B1D44" w:rsidRDefault="009B1D44" w:rsidP="009B1D44">
      <w:pPr>
        <w:rPr>
          <w:szCs w:val="20"/>
        </w:rPr>
      </w:pPr>
      <w:r w:rsidRPr="009B1D44">
        <w:rPr>
          <w:szCs w:val="20"/>
        </w:rPr>
        <w:t>The carrier is responsible for ensuring that every copy of the consignment note they receive travels with the consignment and is given to the consignee upon delivery.</w:t>
      </w:r>
    </w:p>
    <w:p w:rsidR="009368C6" w:rsidRDefault="009B1D44" w:rsidP="009B1D44">
      <w:pPr>
        <w:rPr>
          <w:szCs w:val="20"/>
        </w:rPr>
      </w:pPr>
      <w:r w:rsidRPr="009B1D44">
        <w:rPr>
          <w:szCs w:val="20"/>
        </w:rPr>
        <w:t>A consignment note has five parts (A to E). Each part must be filled out in order by the right person.</w:t>
      </w:r>
      <w:r>
        <w:rPr>
          <w:szCs w:val="20"/>
        </w:rPr>
        <w:t xml:space="preserve"> </w:t>
      </w:r>
      <w:r w:rsidRPr="009B1D44">
        <w:rPr>
          <w:szCs w:val="20"/>
        </w:rPr>
        <w:t xml:space="preserve">The producer or holder of the </w:t>
      </w:r>
    </w:p>
    <w:p w:rsidR="009368C6" w:rsidRDefault="009368C6" w:rsidP="009B1D44">
      <w:pPr>
        <w:rPr>
          <w:szCs w:val="20"/>
        </w:rPr>
      </w:pPr>
    </w:p>
    <w:p w:rsidR="00DA45AD" w:rsidRDefault="009B1D44" w:rsidP="009B1D44">
      <w:pPr>
        <w:rPr>
          <w:szCs w:val="20"/>
        </w:rPr>
      </w:pPr>
      <w:bookmarkStart w:id="0" w:name="_GoBack"/>
      <w:bookmarkEnd w:id="0"/>
      <w:r w:rsidRPr="009B1D44">
        <w:rPr>
          <w:szCs w:val="20"/>
        </w:rPr>
        <w:t>waste must complete parts A and B on each copy of the note before the waste is removed.</w:t>
      </w:r>
      <w:r>
        <w:rPr>
          <w:szCs w:val="20"/>
        </w:rPr>
        <w:t xml:space="preserve"> </w:t>
      </w:r>
    </w:p>
    <w:p w:rsidR="009B1D44" w:rsidRPr="009B1D44" w:rsidRDefault="009B1D44" w:rsidP="009B1D44">
      <w:pPr>
        <w:rPr>
          <w:szCs w:val="20"/>
        </w:rPr>
      </w:pPr>
      <w:r>
        <w:t>Operators</w:t>
      </w:r>
      <w:r w:rsidRPr="0067305F">
        <w:t xml:space="preserve"> need to keep </w:t>
      </w:r>
      <w:r>
        <w:t>consignment notes for 5 years and records (known as a register) for 3 years.</w:t>
      </w:r>
    </w:p>
    <w:p w:rsidR="009B1D44" w:rsidRDefault="009B1D44" w:rsidP="009B1D44">
      <w:pPr>
        <w:rPr>
          <w:i/>
          <w:color w:val="7030A0"/>
        </w:rPr>
      </w:pPr>
      <w:r>
        <w:rPr>
          <w:i/>
          <w:color w:val="7030A0"/>
        </w:rPr>
        <w:t>Section 7: Restrictions and Controls, page</w:t>
      </w:r>
      <w:r w:rsidR="00C67062">
        <w:rPr>
          <w:i/>
          <w:color w:val="7030A0"/>
        </w:rPr>
        <w:t xml:space="preserve"> 48</w:t>
      </w:r>
    </w:p>
    <w:p w:rsidR="00C67062" w:rsidRDefault="00C67062" w:rsidP="00C67062">
      <w:r>
        <w:t xml:space="preserve">The learning </w:t>
      </w:r>
      <w:r w:rsidR="007E0D73">
        <w:t>outcome ‘</w:t>
      </w:r>
      <w:r w:rsidR="00403E0F" w:rsidRPr="009A6511">
        <w:rPr>
          <w:i/>
          <w:color w:val="7030A0"/>
        </w:rPr>
        <w:t>7.2 K</w:t>
      </w:r>
      <w:r w:rsidR="007E0D73" w:rsidRPr="009A6511">
        <w:rPr>
          <w:i/>
          <w:color w:val="7030A0"/>
        </w:rPr>
        <w:t>now</w:t>
      </w:r>
      <w:r w:rsidRPr="009A6511">
        <w:rPr>
          <w:i/>
          <w:color w:val="7030A0"/>
        </w:rPr>
        <w:t xml:space="preserve"> the export paperwork and permissions required to export end of life vehicles’</w:t>
      </w:r>
      <w:r>
        <w:t xml:space="preserve"> was added to the syllabus.</w:t>
      </w:r>
    </w:p>
    <w:p w:rsidR="00C67062" w:rsidRDefault="00C67062" w:rsidP="00C67062">
      <w:pPr>
        <w:rPr>
          <w:b/>
        </w:rPr>
      </w:pPr>
      <w:r>
        <w:rPr>
          <w:b/>
        </w:rPr>
        <w:t>Import and Export</w:t>
      </w:r>
    </w:p>
    <w:p w:rsidR="00C67062" w:rsidRDefault="00C67062" w:rsidP="00DA45AD">
      <w:pPr>
        <w:pStyle w:val="ListParagraph"/>
        <w:numPr>
          <w:ilvl w:val="0"/>
          <w:numId w:val="7"/>
        </w:numPr>
        <w:spacing w:line="240" w:lineRule="auto"/>
      </w:pPr>
      <w:r>
        <w:t>Check your ‘green list’ waste for contamination.</w:t>
      </w:r>
    </w:p>
    <w:p w:rsidR="00C67062" w:rsidRDefault="00C67062" w:rsidP="00C67062">
      <w:pPr>
        <w:pStyle w:val="ListParagraph"/>
        <w:numPr>
          <w:ilvl w:val="0"/>
          <w:numId w:val="7"/>
        </w:numPr>
        <w:spacing w:line="240" w:lineRule="auto"/>
      </w:pPr>
      <w:r>
        <w:t xml:space="preserve">A waste which you may think is ‘green list’ may need prior notification and consent. This requires you to apply to the competent authority of the country you are exporting waste to, completing a notification and paying the correct fees. </w:t>
      </w:r>
    </w:p>
    <w:p w:rsidR="00C67062" w:rsidRDefault="00C67062" w:rsidP="00C67062">
      <w:pPr>
        <w:pStyle w:val="ListParagraph"/>
        <w:numPr>
          <w:ilvl w:val="0"/>
          <w:numId w:val="7"/>
        </w:numPr>
        <w:spacing w:line="240" w:lineRule="auto"/>
      </w:pPr>
      <w:r>
        <w:t xml:space="preserve">A waste which you may think is ‘green list’ may be prohibited if it is not: </w:t>
      </w:r>
    </w:p>
    <w:p w:rsidR="00C67062" w:rsidRDefault="00C67062" w:rsidP="00C67062">
      <w:pPr>
        <w:pStyle w:val="ListParagraph"/>
        <w:numPr>
          <w:ilvl w:val="1"/>
          <w:numId w:val="7"/>
        </w:numPr>
        <w:spacing w:line="240" w:lineRule="auto"/>
      </w:pPr>
      <w:r>
        <w:t>Properly sorted.</w:t>
      </w:r>
    </w:p>
    <w:p w:rsidR="00C67062" w:rsidRPr="00B21AD8" w:rsidRDefault="00C67062" w:rsidP="00C67062">
      <w:pPr>
        <w:pStyle w:val="ListParagraph"/>
        <w:numPr>
          <w:ilvl w:val="1"/>
          <w:numId w:val="7"/>
        </w:numPr>
        <w:spacing w:line="240" w:lineRule="auto"/>
      </w:pPr>
      <w:r>
        <w:t xml:space="preserve">Mixed with a hazardous substance e.g.  if a batch of plastic waste contains pesticide residue which is more than a de </w:t>
      </w:r>
      <w:proofErr w:type="spellStart"/>
      <w:r>
        <w:t>minimis</w:t>
      </w:r>
      <w:proofErr w:type="spellEnd"/>
      <w:r>
        <w:t xml:space="preserve"> level of contamination.</w:t>
      </w:r>
    </w:p>
    <w:p w:rsidR="00C67062" w:rsidRDefault="00C67062" w:rsidP="00C67062">
      <w:pPr>
        <w:rPr>
          <w:b/>
        </w:rPr>
      </w:pPr>
      <w:r>
        <w:rPr>
          <w:b/>
        </w:rPr>
        <w:t>Shipping Green List Waste</w:t>
      </w:r>
    </w:p>
    <w:p w:rsidR="00C67062" w:rsidRDefault="00C67062" w:rsidP="00C67062">
      <w:r>
        <w:t>Before shipping green list waste, you should:</w:t>
      </w:r>
    </w:p>
    <w:p w:rsidR="00C67062" w:rsidRDefault="00C67062" w:rsidP="00C67062">
      <w:pPr>
        <w:pStyle w:val="ListParagraph"/>
        <w:numPr>
          <w:ilvl w:val="0"/>
          <w:numId w:val="8"/>
        </w:numPr>
      </w:pPr>
      <w:r>
        <w:t>Confirm the waste will be handled in an environmentally friendly way.</w:t>
      </w:r>
    </w:p>
    <w:p w:rsidR="00C67062" w:rsidRDefault="00C67062" w:rsidP="00C67062">
      <w:pPr>
        <w:pStyle w:val="ListParagraph"/>
        <w:numPr>
          <w:ilvl w:val="0"/>
          <w:numId w:val="8"/>
        </w:numPr>
      </w:pPr>
      <w:r>
        <w:t>Make sure that the annex VII document is fully completed and signed.</w:t>
      </w:r>
    </w:p>
    <w:p w:rsidR="00C67062" w:rsidRPr="00C67062" w:rsidRDefault="00C67062" w:rsidP="00C67062">
      <w:pPr>
        <w:pStyle w:val="ListParagraph"/>
        <w:numPr>
          <w:ilvl w:val="0"/>
          <w:numId w:val="8"/>
        </w:numPr>
      </w:pPr>
      <w:r>
        <w:t>Draw up a contract between the person who arranges the shipment (exporter) and the importer/consignee.</w:t>
      </w:r>
    </w:p>
    <w:p w:rsidR="00C67062" w:rsidRPr="00C67062" w:rsidRDefault="00C67062" w:rsidP="00C67062"/>
    <w:p w:rsidR="009B1D44" w:rsidRPr="009B1D44" w:rsidRDefault="009B1D44" w:rsidP="009B1D44"/>
    <w:p w:rsidR="00A6136C" w:rsidRDefault="008A2290" w:rsidP="00FD3220">
      <w:pPr>
        <w:sectPr w:rsidR="00A6136C" w:rsidSect="00033393">
          <w:headerReference w:type="default" r:id="rId9"/>
          <w:footerReference w:type="default" r:id="rId10"/>
          <w:pgSz w:w="11906" w:h="16838"/>
          <w:pgMar w:top="1440" w:right="1440" w:bottom="1440" w:left="1440" w:header="708" w:footer="708" w:gutter="0"/>
          <w:cols w:num="2" w:space="708"/>
          <w:docGrid w:linePitch="360"/>
        </w:sectPr>
      </w:pPr>
      <w:r>
        <w:rPr>
          <w:i/>
          <w:color w:val="7030A0"/>
        </w:rPr>
        <w:t xml:space="preserve"> </w:t>
      </w:r>
    </w:p>
    <w:p w:rsidR="00FB64C7" w:rsidRDefault="00FB64C7" w:rsidP="00C02BF3">
      <w:pPr>
        <w:rPr>
          <w:i/>
          <w:color w:val="7030A0"/>
        </w:rPr>
      </w:pPr>
    </w:p>
    <w:p w:rsidR="00C02BF3" w:rsidRPr="00C02BF3" w:rsidRDefault="00C02BF3" w:rsidP="00C02BF3">
      <w:pPr>
        <w:rPr>
          <w:i/>
          <w:color w:val="7030A0"/>
        </w:rPr>
      </w:pPr>
      <w:r>
        <w:rPr>
          <w:i/>
          <w:color w:val="7030A0"/>
        </w:rPr>
        <w:t>Revised List of Sources</w:t>
      </w:r>
    </w:p>
    <w:tbl>
      <w:tblPr>
        <w:tblStyle w:val="TableGrid"/>
        <w:tblW w:w="5510" w:type="pct"/>
        <w:tblInd w:w="-318" w:type="dxa"/>
        <w:tblLayout w:type="fixed"/>
        <w:tblLook w:val="04A0" w:firstRow="1" w:lastRow="0" w:firstColumn="1" w:lastColumn="0" w:noHBand="0" w:noVBand="1"/>
      </w:tblPr>
      <w:tblGrid>
        <w:gridCol w:w="993"/>
        <w:gridCol w:w="3828"/>
      </w:tblGrid>
      <w:tr w:rsidR="00C02BF3" w:rsidRPr="00FB64C7" w:rsidTr="002D0E76">
        <w:tc>
          <w:tcPr>
            <w:tcW w:w="1030" w:type="pct"/>
            <w:shd w:val="clear" w:color="auto" w:fill="7030A0"/>
          </w:tcPr>
          <w:p w:rsidR="00C02BF3" w:rsidRPr="00FB64C7" w:rsidRDefault="00C02BF3" w:rsidP="002D0E76">
            <w:pPr>
              <w:rPr>
                <w:b/>
                <w:color w:val="FFFFFF" w:themeColor="background1"/>
                <w:sz w:val="18"/>
                <w:szCs w:val="18"/>
              </w:rPr>
            </w:pPr>
            <w:r w:rsidRPr="00FB64C7">
              <w:rPr>
                <w:b/>
                <w:color w:val="FFFFFF" w:themeColor="background1"/>
                <w:sz w:val="18"/>
                <w:szCs w:val="18"/>
              </w:rPr>
              <w:t>Page</w:t>
            </w:r>
          </w:p>
        </w:tc>
        <w:tc>
          <w:tcPr>
            <w:tcW w:w="3970" w:type="pct"/>
            <w:shd w:val="clear" w:color="auto" w:fill="7030A0"/>
          </w:tcPr>
          <w:p w:rsidR="00C02BF3" w:rsidRPr="00FB64C7" w:rsidRDefault="00C02BF3" w:rsidP="002D0E76">
            <w:pPr>
              <w:rPr>
                <w:b/>
                <w:color w:val="FFFFFF" w:themeColor="background1"/>
                <w:sz w:val="18"/>
                <w:szCs w:val="18"/>
              </w:rPr>
            </w:pPr>
            <w:r w:rsidRPr="00FB64C7">
              <w:rPr>
                <w:b/>
                <w:color w:val="FFFFFF" w:themeColor="background1"/>
                <w:sz w:val="18"/>
                <w:szCs w:val="18"/>
              </w:rPr>
              <w:t>Source</w:t>
            </w:r>
          </w:p>
        </w:tc>
      </w:tr>
      <w:tr w:rsidR="008B1233" w:rsidRPr="00FB64C7" w:rsidTr="002D0E76">
        <w:tc>
          <w:tcPr>
            <w:tcW w:w="1030" w:type="pct"/>
          </w:tcPr>
          <w:p w:rsidR="009629A7" w:rsidRDefault="002D0E76" w:rsidP="002D0E76">
            <w:pPr>
              <w:rPr>
                <w:sz w:val="18"/>
                <w:szCs w:val="18"/>
              </w:rPr>
            </w:pPr>
            <w:r w:rsidRPr="00FB64C7">
              <w:rPr>
                <w:sz w:val="18"/>
                <w:szCs w:val="18"/>
              </w:rPr>
              <w:t>12,13,14,</w:t>
            </w:r>
          </w:p>
          <w:p w:rsidR="009629A7" w:rsidRDefault="002D0E76" w:rsidP="002D0E76">
            <w:pPr>
              <w:rPr>
                <w:sz w:val="18"/>
                <w:szCs w:val="18"/>
              </w:rPr>
            </w:pPr>
            <w:r w:rsidRPr="00FB64C7">
              <w:rPr>
                <w:sz w:val="18"/>
                <w:szCs w:val="18"/>
              </w:rPr>
              <w:t>15,16,17,</w:t>
            </w:r>
          </w:p>
          <w:p w:rsidR="008B1233" w:rsidRPr="00FB64C7" w:rsidRDefault="002D0E76" w:rsidP="002D0E76">
            <w:pPr>
              <w:rPr>
                <w:b/>
                <w:bCs/>
                <w:sz w:val="18"/>
                <w:szCs w:val="18"/>
              </w:rPr>
            </w:pPr>
            <w:r w:rsidRPr="00FB64C7">
              <w:rPr>
                <w:sz w:val="18"/>
                <w:szCs w:val="18"/>
              </w:rPr>
              <w:t>18,19</w:t>
            </w:r>
          </w:p>
        </w:tc>
        <w:tc>
          <w:tcPr>
            <w:tcW w:w="3970" w:type="pct"/>
          </w:tcPr>
          <w:p w:rsidR="008B1233" w:rsidRPr="00FB64C7" w:rsidRDefault="009368C6" w:rsidP="002D0E76">
            <w:pPr>
              <w:rPr>
                <w:color w:val="0000FF" w:themeColor="hyperlink"/>
                <w:sz w:val="18"/>
                <w:szCs w:val="18"/>
                <w:u w:val="single"/>
              </w:rPr>
            </w:pPr>
            <w:hyperlink r:id="rId11" w:history="1">
              <w:r w:rsidR="00626FFC" w:rsidRPr="00FB64C7">
                <w:rPr>
                  <w:rStyle w:val="Hyperlink"/>
                  <w:sz w:val="18"/>
                  <w:szCs w:val="18"/>
                </w:rPr>
                <w:t>Scrap Metal Dealers Act 2013</w:t>
              </w:r>
            </w:hyperlink>
          </w:p>
        </w:tc>
      </w:tr>
      <w:tr w:rsidR="008B1233" w:rsidRPr="00FB64C7" w:rsidTr="002D0E76">
        <w:tc>
          <w:tcPr>
            <w:tcW w:w="1030" w:type="pct"/>
          </w:tcPr>
          <w:p w:rsidR="009629A7" w:rsidRDefault="002D0E76" w:rsidP="002D0E76">
            <w:pPr>
              <w:rPr>
                <w:sz w:val="18"/>
                <w:szCs w:val="18"/>
              </w:rPr>
            </w:pPr>
            <w:r w:rsidRPr="00FB64C7">
              <w:rPr>
                <w:sz w:val="18"/>
                <w:szCs w:val="18"/>
              </w:rPr>
              <w:t>12,14,15,</w:t>
            </w:r>
          </w:p>
          <w:p w:rsidR="009629A7" w:rsidRDefault="002D0E76" w:rsidP="002D0E76">
            <w:pPr>
              <w:rPr>
                <w:sz w:val="18"/>
                <w:szCs w:val="18"/>
              </w:rPr>
            </w:pPr>
            <w:r w:rsidRPr="00FB64C7">
              <w:rPr>
                <w:sz w:val="18"/>
                <w:szCs w:val="18"/>
              </w:rPr>
              <w:t>16,17,18,</w:t>
            </w:r>
          </w:p>
          <w:p w:rsidR="008B1233" w:rsidRPr="00FB64C7" w:rsidRDefault="002D0E76" w:rsidP="002D0E76">
            <w:pPr>
              <w:rPr>
                <w:b/>
                <w:bCs/>
                <w:sz w:val="18"/>
                <w:szCs w:val="18"/>
              </w:rPr>
            </w:pPr>
            <w:r w:rsidRPr="00FB64C7">
              <w:rPr>
                <w:sz w:val="18"/>
                <w:szCs w:val="18"/>
              </w:rPr>
              <w:t>19</w:t>
            </w:r>
          </w:p>
        </w:tc>
        <w:tc>
          <w:tcPr>
            <w:tcW w:w="3970" w:type="pct"/>
          </w:tcPr>
          <w:p w:rsidR="008B1233" w:rsidRPr="00FB64C7" w:rsidRDefault="009368C6" w:rsidP="002D0E76">
            <w:pPr>
              <w:rPr>
                <w:sz w:val="18"/>
                <w:szCs w:val="18"/>
              </w:rPr>
            </w:pPr>
            <w:hyperlink r:id="rId12" w:history="1">
              <w:r w:rsidR="00626FFC" w:rsidRPr="00FB64C7">
                <w:rPr>
                  <w:rStyle w:val="Hyperlink"/>
                  <w:sz w:val="18"/>
                  <w:szCs w:val="18"/>
                </w:rPr>
                <w:t>Scrap Metal Dealers Act 2013 – Explanatory Notes</w:t>
              </w:r>
            </w:hyperlink>
          </w:p>
        </w:tc>
      </w:tr>
      <w:tr w:rsidR="008B1233" w:rsidRPr="00FB64C7" w:rsidTr="002D0E76">
        <w:tc>
          <w:tcPr>
            <w:tcW w:w="1030" w:type="pct"/>
          </w:tcPr>
          <w:p w:rsidR="008B1233" w:rsidRPr="00FB64C7" w:rsidRDefault="002D0E76" w:rsidP="002D0E76">
            <w:pPr>
              <w:spacing w:after="120"/>
              <w:rPr>
                <w:b/>
                <w:bCs/>
                <w:sz w:val="18"/>
                <w:szCs w:val="18"/>
              </w:rPr>
            </w:pPr>
            <w:r w:rsidRPr="00FB64C7">
              <w:rPr>
                <w:sz w:val="18"/>
                <w:szCs w:val="18"/>
              </w:rPr>
              <w:t>22,39</w:t>
            </w:r>
          </w:p>
        </w:tc>
        <w:tc>
          <w:tcPr>
            <w:tcW w:w="3970" w:type="pct"/>
          </w:tcPr>
          <w:p w:rsidR="008B1233" w:rsidRPr="00FB64C7" w:rsidRDefault="009368C6" w:rsidP="002D0E76">
            <w:pPr>
              <w:rPr>
                <w:sz w:val="18"/>
                <w:szCs w:val="18"/>
              </w:rPr>
            </w:pPr>
            <w:hyperlink r:id="rId13" w:history="1">
              <w:r w:rsidR="00626FFC" w:rsidRPr="00FB64C7">
                <w:rPr>
                  <w:rStyle w:val="Hyperlink"/>
                  <w:sz w:val="18"/>
                  <w:szCs w:val="18"/>
                </w:rPr>
                <w:t>The End of Life Vehicles Regulations 2003</w:t>
              </w:r>
            </w:hyperlink>
          </w:p>
        </w:tc>
      </w:tr>
      <w:tr w:rsidR="008B1233" w:rsidRPr="00FB64C7" w:rsidTr="002D0E76">
        <w:tc>
          <w:tcPr>
            <w:tcW w:w="1030" w:type="pct"/>
          </w:tcPr>
          <w:p w:rsidR="009629A7" w:rsidRDefault="002D0E76" w:rsidP="002D0E76">
            <w:pPr>
              <w:spacing w:after="120"/>
              <w:rPr>
                <w:sz w:val="18"/>
                <w:szCs w:val="18"/>
              </w:rPr>
            </w:pPr>
            <w:r w:rsidRPr="00FB64C7">
              <w:rPr>
                <w:sz w:val="18"/>
                <w:szCs w:val="18"/>
              </w:rPr>
              <w:t>25,31,32,</w:t>
            </w:r>
          </w:p>
          <w:p w:rsidR="008B1233" w:rsidRPr="00FB64C7" w:rsidRDefault="002D0E76" w:rsidP="002D0E76">
            <w:pPr>
              <w:spacing w:after="120"/>
              <w:rPr>
                <w:b/>
                <w:bCs/>
                <w:sz w:val="18"/>
                <w:szCs w:val="18"/>
              </w:rPr>
            </w:pPr>
            <w:r w:rsidRPr="00FB64C7">
              <w:rPr>
                <w:sz w:val="18"/>
                <w:szCs w:val="18"/>
              </w:rPr>
              <w:t>34,40</w:t>
            </w:r>
          </w:p>
        </w:tc>
        <w:tc>
          <w:tcPr>
            <w:tcW w:w="3970" w:type="pct"/>
          </w:tcPr>
          <w:p w:rsidR="008B1233" w:rsidRPr="00FB64C7" w:rsidRDefault="009368C6" w:rsidP="002D0E76">
            <w:pPr>
              <w:rPr>
                <w:sz w:val="18"/>
                <w:szCs w:val="18"/>
              </w:rPr>
            </w:pPr>
            <w:hyperlink r:id="rId14" w:history="1">
              <w:r w:rsidR="00626FFC" w:rsidRPr="00FB64C7">
                <w:rPr>
                  <w:rStyle w:val="Hyperlink"/>
                  <w:sz w:val="18"/>
                  <w:szCs w:val="18"/>
                </w:rPr>
                <w:t>Depolluting End of Life Vehicles (Cars and Light Goods Vehicles): Guidance for Authorised Treatment Facilities (March 2011)</w:t>
              </w:r>
            </w:hyperlink>
          </w:p>
        </w:tc>
      </w:tr>
      <w:tr w:rsidR="008B1233" w:rsidRPr="00FB64C7" w:rsidTr="002D0E76">
        <w:tc>
          <w:tcPr>
            <w:tcW w:w="1030" w:type="pct"/>
          </w:tcPr>
          <w:p w:rsidR="009629A7" w:rsidRDefault="002D0E76" w:rsidP="002D0E76">
            <w:pPr>
              <w:spacing w:after="120"/>
              <w:rPr>
                <w:sz w:val="18"/>
                <w:szCs w:val="18"/>
              </w:rPr>
            </w:pPr>
            <w:r w:rsidRPr="00FB64C7">
              <w:rPr>
                <w:sz w:val="18"/>
                <w:szCs w:val="18"/>
              </w:rPr>
              <w:t>25,26,27,</w:t>
            </w:r>
          </w:p>
          <w:p w:rsidR="008B1233" w:rsidRPr="00FB64C7" w:rsidRDefault="002D0E76" w:rsidP="002D0E76">
            <w:pPr>
              <w:spacing w:after="120"/>
              <w:rPr>
                <w:b/>
                <w:bCs/>
                <w:sz w:val="18"/>
                <w:szCs w:val="18"/>
              </w:rPr>
            </w:pPr>
            <w:r w:rsidRPr="00FB64C7">
              <w:rPr>
                <w:sz w:val="18"/>
                <w:szCs w:val="18"/>
              </w:rPr>
              <w:t>28,41</w:t>
            </w:r>
          </w:p>
        </w:tc>
        <w:tc>
          <w:tcPr>
            <w:tcW w:w="3970" w:type="pct"/>
          </w:tcPr>
          <w:p w:rsidR="008B1233" w:rsidRPr="00FB64C7" w:rsidRDefault="009368C6" w:rsidP="002D0E76">
            <w:pPr>
              <w:rPr>
                <w:sz w:val="18"/>
                <w:szCs w:val="18"/>
              </w:rPr>
            </w:pPr>
            <w:hyperlink r:id="rId15" w:history="1">
              <w:r w:rsidR="00626FFC" w:rsidRPr="00FB64C7">
                <w:rPr>
                  <w:rStyle w:val="Hyperlink"/>
                  <w:sz w:val="18"/>
                  <w:szCs w:val="18"/>
                </w:rPr>
                <w:t>Health and Safety Executive (2015) Petrol recovery from end-of-life vehicles</w:t>
              </w:r>
            </w:hyperlink>
          </w:p>
        </w:tc>
      </w:tr>
      <w:tr w:rsidR="008B1233" w:rsidRPr="00FB64C7" w:rsidTr="002D0E76">
        <w:tc>
          <w:tcPr>
            <w:tcW w:w="1030" w:type="pct"/>
          </w:tcPr>
          <w:p w:rsidR="008B1233" w:rsidRPr="00FB64C7" w:rsidRDefault="002D0E76" w:rsidP="002D0E76">
            <w:pPr>
              <w:spacing w:after="120"/>
              <w:rPr>
                <w:b/>
                <w:bCs/>
                <w:sz w:val="18"/>
                <w:szCs w:val="18"/>
              </w:rPr>
            </w:pPr>
            <w:r w:rsidRPr="00FB64C7">
              <w:rPr>
                <w:sz w:val="18"/>
                <w:szCs w:val="18"/>
              </w:rPr>
              <w:t>32</w:t>
            </w:r>
          </w:p>
        </w:tc>
        <w:tc>
          <w:tcPr>
            <w:tcW w:w="3970" w:type="pct"/>
          </w:tcPr>
          <w:p w:rsidR="008B1233" w:rsidRPr="00FB64C7" w:rsidRDefault="009368C6" w:rsidP="002D0E76">
            <w:pPr>
              <w:rPr>
                <w:sz w:val="18"/>
                <w:szCs w:val="18"/>
              </w:rPr>
            </w:pPr>
            <w:hyperlink r:id="rId16" w:history="1">
              <w:r w:rsidR="00626FFC" w:rsidRPr="00FB64C7">
                <w:rPr>
                  <w:rStyle w:val="Hyperlink"/>
                  <w:bCs/>
                  <w:sz w:val="18"/>
                  <w:szCs w:val="18"/>
                </w:rPr>
                <w:t>GOV.UK (2014) F Gas requirements for air conditioners in cars and other vehicles</w:t>
              </w:r>
            </w:hyperlink>
            <w:r w:rsidR="00626FFC" w:rsidRPr="00FB64C7">
              <w:rPr>
                <w:sz w:val="18"/>
                <w:szCs w:val="18"/>
              </w:rPr>
              <w:t xml:space="preserve"> </w:t>
            </w:r>
          </w:p>
        </w:tc>
      </w:tr>
      <w:tr w:rsidR="008B1233" w:rsidRPr="00FB64C7" w:rsidTr="002D0E76">
        <w:tc>
          <w:tcPr>
            <w:tcW w:w="1030" w:type="pct"/>
          </w:tcPr>
          <w:p w:rsidR="008B1233" w:rsidRPr="00FB64C7" w:rsidRDefault="002D0E76" w:rsidP="002D0E76">
            <w:pPr>
              <w:spacing w:after="120"/>
              <w:rPr>
                <w:b/>
                <w:bCs/>
                <w:sz w:val="18"/>
                <w:szCs w:val="18"/>
              </w:rPr>
            </w:pPr>
            <w:r w:rsidRPr="00FB64C7">
              <w:rPr>
                <w:sz w:val="18"/>
                <w:szCs w:val="18"/>
              </w:rPr>
              <w:t>35</w:t>
            </w:r>
          </w:p>
        </w:tc>
        <w:tc>
          <w:tcPr>
            <w:tcW w:w="3970" w:type="pct"/>
          </w:tcPr>
          <w:p w:rsidR="008B1233" w:rsidRPr="00FB64C7" w:rsidRDefault="009368C6" w:rsidP="002D0E76">
            <w:pPr>
              <w:rPr>
                <w:sz w:val="18"/>
                <w:szCs w:val="18"/>
              </w:rPr>
            </w:pPr>
            <w:hyperlink r:id="rId17" w:history="1">
              <w:r w:rsidR="00626FFC" w:rsidRPr="00FB64C7">
                <w:rPr>
                  <w:rStyle w:val="Hyperlink"/>
                  <w:sz w:val="18"/>
                  <w:szCs w:val="18"/>
                </w:rPr>
                <w:t>BIS (2011) Removal of LPG Tanks: Guidance</w:t>
              </w:r>
            </w:hyperlink>
          </w:p>
        </w:tc>
      </w:tr>
      <w:tr w:rsidR="008B1233" w:rsidRPr="00FB64C7" w:rsidTr="002D0E76">
        <w:tc>
          <w:tcPr>
            <w:tcW w:w="1030" w:type="pct"/>
          </w:tcPr>
          <w:p w:rsidR="008B1233" w:rsidRPr="00FB64C7" w:rsidRDefault="002D0E76" w:rsidP="002D0E76">
            <w:pPr>
              <w:spacing w:after="120"/>
              <w:rPr>
                <w:b/>
                <w:bCs/>
                <w:sz w:val="18"/>
                <w:szCs w:val="18"/>
              </w:rPr>
            </w:pPr>
            <w:r w:rsidRPr="00FB64C7">
              <w:rPr>
                <w:sz w:val="18"/>
                <w:szCs w:val="18"/>
              </w:rPr>
              <w:t>38</w:t>
            </w:r>
          </w:p>
        </w:tc>
        <w:tc>
          <w:tcPr>
            <w:tcW w:w="3970" w:type="pct"/>
          </w:tcPr>
          <w:p w:rsidR="008B1233" w:rsidRPr="00FB64C7" w:rsidRDefault="009368C6" w:rsidP="002D0E76">
            <w:pPr>
              <w:rPr>
                <w:rFonts w:eastAsia="Times New Roman"/>
                <w:sz w:val="18"/>
                <w:szCs w:val="18"/>
              </w:rPr>
            </w:pPr>
            <w:hyperlink r:id="rId18" w:history="1">
              <w:r w:rsidR="00626FFC" w:rsidRPr="00FB64C7">
                <w:rPr>
                  <w:rStyle w:val="Hyperlink"/>
                  <w:rFonts w:eastAsia="Times New Roman"/>
                  <w:sz w:val="18"/>
                  <w:szCs w:val="18"/>
                </w:rPr>
                <w:t>Understanding permeable and impermeable surfaces: Technical report on surfacing options and cost benefit analysis</w:t>
              </w:r>
            </w:hyperlink>
          </w:p>
        </w:tc>
      </w:tr>
      <w:tr w:rsidR="008B1233" w:rsidRPr="00FB64C7" w:rsidTr="002D0E76">
        <w:tc>
          <w:tcPr>
            <w:tcW w:w="1030" w:type="pct"/>
          </w:tcPr>
          <w:p w:rsidR="008B1233" w:rsidRPr="00FB64C7" w:rsidRDefault="002D0E76" w:rsidP="002D0E76">
            <w:pPr>
              <w:spacing w:after="120"/>
              <w:rPr>
                <w:b/>
                <w:bCs/>
                <w:sz w:val="18"/>
                <w:szCs w:val="18"/>
              </w:rPr>
            </w:pPr>
            <w:r w:rsidRPr="00FB64C7">
              <w:rPr>
                <w:sz w:val="18"/>
                <w:szCs w:val="18"/>
              </w:rPr>
              <w:t>38,39</w:t>
            </w:r>
          </w:p>
        </w:tc>
        <w:tc>
          <w:tcPr>
            <w:tcW w:w="3970" w:type="pct"/>
          </w:tcPr>
          <w:p w:rsidR="008B1233" w:rsidRPr="00FB64C7" w:rsidRDefault="009368C6" w:rsidP="002D0E76">
            <w:pPr>
              <w:rPr>
                <w:color w:val="0000FF"/>
                <w:sz w:val="18"/>
                <w:szCs w:val="18"/>
                <w:u w:val="single"/>
              </w:rPr>
            </w:pPr>
            <w:hyperlink r:id="rId19" w:history="1">
              <w:r w:rsidR="00626FFC" w:rsidRPr="00FB64C7">
                <w:rPr>
                  <w:rStyle w:val="Hyperlink"/>
                  <w:sz w:val="18"/>
                  <w:szCs w:val="18"/>
                </w:rPr>
                <w:t>Environment Agency, Standard Rules Permit SR2008No20_75kte: Vehicle Storage, Depollution and dismantling (authorised treatment) facility (June 2012, V5.0)</w:t>
              </w:r>
            </w:hyperlink>
          </w:p>
        </w:tc>
      </w:tr>
      <w:tr w:rsidR="00626FFC" w:rsidRPr="00FB64C7" w:rsidTr="002D0E76">
        <w:tc>
          <w:tcPr>
            <w:tcW w:w="1030" w:type="pct"/>
          </w:tcPr>
          <w:p w:rsidR="00626FFC" w:rsidRPr="00FB64C7" w:rsidRDefault="002D0E76" w:rsidP="002D0E76">
            <w:pPr>
              <w:spacing w:after="120"/>
              <w:rPr>
                <w:b/>
                <w:bCs/>
                <w:sz w:val="18"/>
                <w:szCs w:val="18"/>
              </w:rPr>
            </w:pPr>
            <w:r w:rsidRPr="00FB64C7">
              <w:rPr>
                <w:sz w:val="18"/>
                <w:szCs w:val="18"/>
              </w:rPr>
              <w:t>38,39,40</w:t>
            </w:r>
          </w:p>
        </w:tc>
        <w:tc>
          <w:tcPr>
            <w:tcW w:w="3970" w:type="pct"/>
          </w:tcPr>
          <w:p w:rsidR="00626FFC" w:rsidRPr="00FB64C7" w:rsidRDefault="009368C6" w:rsidP="002D0E76">
            <w:pPr>
              <w:rPr>
                <w:color w:val="0000FF"/>
                <w:sz w:val="18"/>
                <w:szCs w:val="18"/>
                <w:u w:val="single"/>
              </w:rPr>
            </w:pPr>
            <w:hyperlink r:id="rId20" w:history="1">
              <w:r w:rsidR="00626FFC" w:rsidRPr="00FB64C7">
                <w:rPr>
                  <w:rStyle w:val="Hyperlink"/>
                  <w:sz w:val="18"/>
                  <w:szCs w:val="18"/>
                </w:rPr>
                <w:t>Environment Agency – Standard Rules Permit SR2011No3: Vehicle Storage, Depollution and dismantling (authorised treatment) facility (June 2012, V2.0)</w:t>
              </w:r>
            </w:hyperlink>
          </w:p>
        </w:tc>
      </w:tr>
      <w:tr w:rsidR="00626FFC" w:rsidRPr="00FB64C7" w:rsidTr="002D0E76">
        <w:tc>
          <w:tcPr>
            <w:tcW w:w="1030" w:type="pct"/>
          </w:tcPr>
          <w:p w:rsidR="00626FFC" w:rsidRPr="00FB64C7" w:rsidRDefault="002D0E76" w:rsidP="002D0E76">
            <w:pPr>
              <w:spacing w:after="120"/>
              <w:rPr>
                <w:b/>
                <w:bCs/>
                <w:sz w:val="18"/>
                <w:szCs w:val="18"/>
              </w:rPr>
            </w:pPr>
            <w:r w:rsidRPr="00FB64C7">
              <w:rPr>
                <w:sz w:val="18"/>
                <w:szCs w:val="18"/>
              </w:rPr>
              <w:t>44</w:t>
            </w:r>
          </w:p>
        </w:tc>
        <w:tc>
          <w:tcPr>
            <w:tcW w:w="3970" w:type="pct"/>
          </w:tcPr>
          <w:p w:rsidR="00626FFC" w:rsidRPr="00FB64C7" w:rsidRDefault="009368C6" w:rsidP="002D0E76">
            <w:pPr>
              <w:rPr>
                <w:sz w:val="18"/>
                <w:szCs w:val="18"/>
              </w:rPr>
            </w:pPr>
            <w:hyperlink r:id="rId21" w:history="1">
              <w:r w:rsidR="002D0E76" w:rsidRPr="00FB64C7">
                <w:rPr>
                  <w:rStyle w:val="Hyperlink"/>
                  <w:sz w:val="18"/>
                  <w:szCs w:val="18"/>
                </w:rPr>
                <w:t>Environment Agency (2015) Waste Classification: Technical Guidance WM3</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sz w:val="18"/>
                <w:szCs w:val="18"/>
              </w:rPr>
            </w:pPr>
            <w:hyperlink r:id="rId22" w:history="1">
              <w:r w:rsidR="002D0E76" w:rsidRPr="00FB64C7">
                <w:rPr>
                  <w:rStyle w:val="Hyperlink"/>
                  <w:sz w:val="18"/>
                  <w:szCs w:val="18"/>
                </w:rPr>
                <w:t>The Hazardous Regulations (Wales) Regulations 2005</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color w:val="0000FF" w:themeColor="hyperlink"/>
                <w:sz w:val="18"/>
                <w:szCs w:val="18"/>
                <w:u w:val="single"/>
              </w:rPr>
            </w:pPr>
            <w:hyperlink r:id="rId23" w:history="1">
              <w:r w:rsidR="002D0E76" w:rsidRPr="00FB64C7">
                <w:rPr>
                  <w:rStyle w:val="Hyperlink"/>
                  <w:sz w:val="18"/>
                  <w:szCs w:val="18"/>
                </w:rPr>
                <w:t>Environment Agency (2011) End of Life Vehicles: Information for ATF</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sz w:val="18"/>
                <w:szCs w:val="18"/>
              </w:rPr>
            </w:pPr>
            <w:hyperlink r:id="rId24" w:history="1">
              <w:r w:rsidR="002D0E76" w:rsidRPr="00FB64C7">
                <w:rPr>
                  <w:rStyle w:val="Hyperlink"/>
                  <w:sz w:val="18"/>
                  <w:szCs w:val="18"/>
                </w:rPr>
                <w:t>NRW (2018) Hazardous Waste Returns</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color w:val="0000FF" w:themeColor="hyperlink"/>
                <w:sz w:val="18"/>
                <w:szCs w:val="18"/>
                <w:u w:val="single"/>
              </w:rPr>
            </w:pPr>
            <w:hyperlink r:id="rId25" w:history="1">
              <w:r w:rsidR="002D0E76" w:rsidRPr="00FB64C7">
                <w:rPr>
                  <w:rStyle w:val="Hyperlink"/>
                  <w:sz w:val="18"/>
                  <w:szCs w:val="18"/>
                </w:rPr>
                <w:t>NRW (2018) Moving Hazardous Waste</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sz w:val="18"/>
                <w:szCs w:val="18"/>
              </w:rPr>
            </w:pPr>
            <w:hyperlink r:id="rId26" w:history="1">
              <w:r w:rsidR="002D0E76" w:rsidRPr="00FB64C7">
                <w:rPr>
                  <w:rStyle w:val="Hyperlink"/>
                  <w:sz w:val="18"/>
                  <w:szCs w:val="18"/>
                </w:rPr>
                <w:t>NRW (2018) Consignment Note Template</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sz w:val="18"/>
                <w:szCs w:val="18"/>
              </w:rPr>
            </w:pPr>
            <w:hyperlink r:id="rId27" w:history="1">
              <w:r w:rsidR="002D0E76" w:rsidRPr="00FB64C7">
                <w:rPr>
                  <w:rStyle w:val="Hyperlink"/>
                  <w:sz w:val="18"/>
                  <w:szCs w:val="18"/>
                </w:rPr>
                <w:t>GOV.UK (2018) Hazardous Waste: Producers and holders</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sz w:val="18"/>
                <w:szCs w:val="18"/>
              </w:rPr>
            </w:pPr>
            <w:hyperlink r:id="rId28" w:history="1">
              <w:r w:rsidR="002D0E76" w:rsidRPr="00FB64C7">
                <w:rPr>
                  <w:rStyle w:val="Hyperlink"/>
                  <w:sz w:val="18"/>
                  <w:szCs w:val="18"/>
                </w:rPr>
                <w:t>GOV.UK (2018) Hazardous Waste: Consignment Note Guidance</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45</w:t>
            </w:r>
          </w:p>
        </w:tc>
        <w:tc>
          <w:tcPr>
            <w:tcW w:w="3970" w:type="pct"/>
          </w:tcPr>
          <w:p w:rsidR="00626FFC" w:rsidRPr="00FB64C7" w:rsidRDefault="009368C6" w:rsidP="002D0E76">
            <w:pPr>
              <w:rPr>
                <w:color w:val="0000FF" w:themeColor="hyperlink"/>
                <w:sz w:val="18"/>
                <w:szCs w:val="18"/>
                <w:u w:val="single"/>
              </w:rPr>
            </w:pPr>
            <w:hyperlink r:id="rId29" w:history="1">
              <w:r w:rsidR="002D0E76" w:rsidRPr="00FB64C7">
                <w:rPr>
                  <w:rStyle w:val="Hyperlink"/>
                  <w:sz w:val="18"/>
                  <w:szCs w:val="18"/>
                </w:rPr>
                <w:t>GOV.UK (2019) Hazardous Waste: Consignment Notes</w:t>
              </w:r>
            </w:hyperlink>
          </w:p>
        </w:tc>
      </w:tr>
      <w:tr w:rsidR="002D0E76" w:rsidRPr="00FB64C7" w:rsidTr="002D0E76">
        <w:tc>
          <w:tcPr>
            <w:tcW w:w="1030" w:type="pct"/>
          </w:tcPr>
          <w:p w:rsidR="002D0E76" w:rsidRPr="00FB64C7" w:rsidRDefault="002D0E76" w:rsidP="002D0E76">
            <w:pPr>
              <w:spacing w:after="120"/>
              <w:rPr>
                <w:bCs/>
                <w:sz w:val="18"/>
                <w:szCs w:val="18"/>
              </w:rPr>
            </w:pPr>
            <w:r w:rsidRPr="00FB64C7">
              <w:rPr>
                <w:bCs/>
                <w:sz w:val="18"/>
                <w:szCs w:val="18"/>
              </w:rPr>
              <w:t>45</w:t>
            </w:r>
          </w:p>
        </w:tc>
        <w:tc>
          <w:tcPr>
            <w:tcW w:w="3970" w:type="pct"/>
          </w:tcPr>
          <w:p w:rsidR="002D0E76" w:rsidRPr="00FB64C7" w:rsidRDefault="009368C6" w:rsidP="002D0E76">
            <w:pPr>
              <w:rPr>
                <w:sz w:val="18"/>
                <w:szCs w:val="18"/>
              </w:rPr>
            </w:pPr>
            <w:hyperlink r:id="rId30" w:history="1">
              <w:r w:rsidR="002D0E76" w:rsidRPr="00FB64C7">
                <w:rPr>
                  <w:rStyle w:val="Hyperlink"/>
                  <w:sz w:val="18"/>
                  <w:szCs w:val="18"/>
                </w:rPr>
                <w:t>GOV.UK (2019) Hazardous Waste: Consignees Returns</w:t>
              </w:r>
            </w:hyperlink>
          </w:p>
        </w:tc>
      </w:tr>
      <w:tr w:rsidR="002D0E76" w:rsidRPr="00FB64C7" w:rsidTr="002D0E76">
        <w:tc>
          <w:tcPr>
            <w:tcW w:w="1030" w:type="pct"/>
          </w:tcPr>
          <w:p w:rsidR="002D0E76" w:rsidRPr="00FB64C7" w:rsidRDefault="002D0E76" w:rsidP="002D0E76">
            <w:pPr>
              <w:spacing w:after="120"/>
              <w:rPr>
                <w:bCs/>
                <w:sz w:val="18"/>
                <w:szCs w:val="18"/>
              </w:rPr>
            </w:pPr>
            <w:r w:rsidRPr="00FB64C7">
              <w:rPr>
                <w:bCs/>
                <w:sz w:val="18"/>
                <w:szCs w:val="18"/>
              </w:rPr>
              <w:t>45</w:t>
            </w:r>
          </w:p>
        </w:tc>
        <w:tc>
          <w:tcPr>
            <w:tcW w:w="3970" w:type="pct"/>
          </w:tcPr>
          <w:p w:rsidR="002D0E76" w:rsidRPr="00FB64C7" w:rsidRDefault="009368C6" w:rsidP="002D0E76">
            <w:pPr>
              <w:rPr>
                <w:sz w:val="18"/>
                <w:szCs w:val="18"/>
              </w:rPr>
            </w:pPr>
            <w:hyperlink r:id="rId31" w:history="1">
              <w:r w:rsidR="002D0E76" w:rsidRPr="00FB64C7">
                <w:rPr>
                  <w:rStyle w:val="Hyperlink"/>
                  <w:sz w:val="18"/>
                  <w:szCs w:val="18"/>
                </w:rPr>
                <w:t>GOV.UK (2019) Hazardous Waste: Overview</w:t>
              </w:r>
            </w:hyperlink>
          </w:p>
        </w:tc>
      </w:tr>
      <w:tr w:rsidR="00626FFC" w:rsidRPr="00FB64C7" w:rsidTr="002D0E76">
        <w:tc>
          <w:tcPr>
            <w:tcW w:w="1030" w:type="pct"/>
          </w:tcPr>
          <w:p w:rsidR="00626FFC" w:rsidRPr="00FB64C7" w:rsidRDefault="002D0E76" w:rsidP="002D0E76">
            <w:pPr>
              <w:spacing w:after="120"/>
              <w:rPr>
                <w:bCs/>
                <w:sz w:val="18"/>
                <w:szCs w:val="18"/>
              </w:rPr>
            </w:pPr>
            <w:r w:rsidRPr="00FB64C7">
              <w:rPr>
                <w:bCs/>
                <w:sz w:val="18"/>
                <w:szCs w:val="18"/>
              </w:rPr>
              <w:t>48</w:t>
            </w:r>
          </w:p>
        </w:tc>
        <w:tc>
          <w:tcPr>
            <w:tcW w:w="3970" w:type="pct"/>
          </w:tcPr>
          <w:p w:rsidR="00626FFC" w:rsidRPr="00FB64C7" w:rsidRDefault="009368C6" w:rsidP="002D0E76">
            <w:pPr>
              <w:rPr>
                <w:sz w:val="18"/>
                <w:szCs w:val="18"/>
              </w:rPr>
            </w:pPr>
            <w:hyperlink r:id="rId32" w:history="1">
              <w:r w:rsidR="002D0E76" w:rsidRPr="00FB64C7">
                <w:rPr>
                  <w:rStyle w:val="Hyperlink"/>
                  <w:sz w:val="18"/>
                  <w:szCs w:val="18"/>
                </w:rPr>
                <w:t>GOV.UK (2018) Waste: import and export</w:t>
              </w:r>
            </w:hyperlink>
          </w:p>
        </w:tc>
      </w:tr>
    </w:tbl>
    <w:p w:rsidR="00FB64C7" w:rsidRDefault="00C02BF3" w:rsidP="002D0E76">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FB64C7" w:rsidRDefault="00FB64C7" w:rsidP="002D0E76">
      <w:pPr>
        <w:spacing w:before="24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33"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76" w:rsidRDefault="002D0E76" w:rsidP="00033393">
      <w:pPr>
        <w:spacing w:after="0" w:line="240" w:lineRule="auto"/>
      </w:pPr>
      <w:r>
        <w:separator/>
      </w:r>
    </w:p>
  </w:endnote>
  <w:endnote w:type="continuationSeparator" w:id="0">
    <w:p w:rsidR="002D0E76" w:rsidRDefault="002D0E76"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2D0E76" w:rsidRDefault="002D0E76" w:rsidP="00FB3587">
            <w:pPr>
              <w:spacing w:after="0"/>
            </w:pPr>
            <w:r>
              <w:rPr>
                <w:noProof/>
                <w:lang w:eastAsia="en-GB"/>
              </w:rPr>
              <mc:AlternateContent>
                <mc:Choice Requires="wps">
                  <w:drawing>
                    <wp:anchor distT="0" distB="0" distL="114300" distR="114300" simplePos="0" relativeHeight="251661312" behindDoc="0" locked="0" layoutInCell="1" allowOverlap="1" wp14:anchorId="1F547778" wp14:editId="0677EEB8">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9368C6">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9368C6">
                          <w:rPr>
                            <w:b/>
                            <w:noProof/>
                          </w:rPr>
                          <w:t>2</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76" w:rsidRDefault="002D0E76" w:rsidP="00033393">
      <w:pPr>
        <w:spacing w:after="0" w:line="240" w:lineRule="auto"/>
      </w:pPr>
      <w:r>
        <w:separator/>
      </w:r>
    </w:p>
  </w:footnote>
  <w:footnote w:type="continuationSeparator" w:id="0">
    <w:p w:rsidR="002D0E76" w:rsidRDefault="002D0E76"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76" w:rsidRPr="00033393" w:rsidRDefault="002D0E76">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0A71FE99" wp14:editId="5240E9C1">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25C"/>
    <w:multiLevelType w:val="hybridMultilevel"/>
    <w:tmpl w:val="D22C9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0E4776"/>
    <w:multiLevelType w:val="multilevel"/>
    <w:tmpl w:val="356E1D52"/>
    <w:lvl w:ilvl="0">
      <w:start w:val="1"/>
      <w:numFmt w:val="bullet"/>
      <w:lvlText w:val=""/>
      <w:lvlJc w:val="left"/>
      <w:pPr>
        <w:ind w:left="360" w:hanging="360"/>
      </w:pPr>
      <w:rPr>
        <w:rFonts w:ascii="Symbol" w:hAnsi="Symbol" w:hint="default"/>
        <w:sz w:val="22"/>
        <w:szCs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077306"/>
    <w:multiLevelType w:val="hybridMultilevel"/>
    <w:tmpl w:val="96608D18"/>
    <w:lvl w:ilvl="0" w:tplc="5784C8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5F1AE7"/>
    <w:multiLevelType w:val="hybridMultilevel"/>
    <w:tmpl w:val="6F86D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2B5FB4"/>
    <w:multiLevelType w:val="hybridMultilevel"/>
    <w:tmpl w:val="3AB2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6106F4"/>
    <w:multiLevelType w:val="hybridMultilevel"/>
    <w:tmpl w:val="B8C87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0"/>
  </w:num>
  <w:num w:numId="6">
    <w:abstractNumId w:val="7"/>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A36DC"/>
    <w:rsid w:val="000C3A3D"/>
    <w:rsid w:val="0018616D"/>
    <w:rsid w:val="00286918"/>
    <w:rsid w:val="002D0E76"/>
    <w:rsid w:val="002E28B9"/>
    <w:rsid w:val="00327D79"/>
    <w:rsid w:val="003321AB"/>
    <w:rsid w:val="003F6D66"/>
    <w:rsid w:val="00403E0F"/>
    <w:rsid w:val="00440CA7"/>
    <w:rsid w:val="005607D4"/>
    <w:rsid w:val="005A78B6"/>
    <w:rsid w:val="00616296"/>
    <w:rsid w:val="00626FFC"/>
    <w:rsid w:val="0069215B"/>
    <w:rsid w:val="007A593D"/>
    <w:rsid w:val="007E0D73"/>
    <w:rsid w:val="008A2290"/>
    <w:rsid w:val="008B1233"/>
    <w:rsid w:val="009368C6"/>
    <w:rsid w:val="009629A7"/>
    <w:rsid w:val="00964157"/>
    <w:rsid w:val="009A6511"/>
    <w:rsid w:val="009B1D44"/>
    <w:rsid w:val="009B5506"/>
    <w:rsid w:val="00A6136C"/>
    <w:rsid w:val="00A674E5"/>
    <w:rsid w:val="00A97B72"/>
    <w:rsid w:val="00AA6976"/>
    <w:rsid w:val="00AB5205"/>
    <w:rsid w:val="00AE4804"/>
    <w:rsid w:val="00B15D2A"/>
    <w:rsid w:val="00BE5446"/>
    <w:rsid w:val="00C02BF3"/>
    <w:rsid w:val="00C20806"/>
    <w:rsid w:val="00C67062"/>
    <w:rsid w:val="00D90EA2"/>
    <w:rsid w:val="00DA45AD"/>
    <w:rsid w:val="00DB0056"/>
    <w:rsid w:val="00E961A5"/>
    <w:rsid w:val="00F02619"/>
    <w:rsid w:val="00F029FD"/>
    <w:rsid w:val="00F478EA"/>
    <w:rsid w:val="00FB3587"/>
    <w:rsid w:val="00FB64C7"/>
    <w:rsid w:val="00FD3220"/>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FollowedHyperlink">
    <w:name w:val="FollowedHyperlink"/>
    <w:basedOn w:val="DefaultParagraphFont"/>
    <w:uiPriority w:val="99"/>
    <w:semiHidden/>
    <w:unhideWhenUsed/>
    <w:rsid w:val="002D0E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FollowedHyperlink">
    <w:name w:val="FollowedHyperlink"/>
    <w:basedOn w:val="DefaultParagraphFont"/>
    <w:uiPriority w:val="99"/>
    <w:semiHidden/>
    <w:unhideWhenUsed/>
    <w:rsid w:val="002D0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how-end-of-life-vehicle-regulations-affect-vehicle-producers" TargetMode="External"/><Relationship Id="rId18" Type="http://schemas.openxmlformats.org/officeDocument/2006/relationships/hyperlink" Target="http://www.wamitab.org.uk/pg/waste-resources" TargetMode="External"/><Relationship Id="rId26" Type="http://schemas.openxmlformats.org/officeDocument/2006/relationships/hyperlink" Target="https://naturalresources.wales/media/677710/consignmentnote.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427077/LIT_10121.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uk/ukpga/2013/10/pdfs/ukpgaen_20130010_en.pdf" TargetMode="External"/><Relationship Id="rId17" Type="http://schemas.openxmlformats.org/officeDocument/2006/relationships/hyperlink" Target="https://www.gov.uk/government/uploads/system/uploads/attachment_data/file/31806/11-849-removal-of-lpg-tanks-guidance.pdf" TargetMode="External"/><Relationship Id="rId25" Type="http://schemas.openxmlformats.org/officeDocument/2006/relationships/hyperlink" Target="https://naturalresources.wales/guidance-and-advice/environmental-topics/waste-management/moving-hazardous-waste/?lang=en" TargetMode="External"/><Relationship Id="rId33" Type="http://schemas.openxmlformats.org/officeDocument/2006/relationships/hyperlink" Target="https://wamitab.org.uk/competence/continuing-competence/test-score-calculator/" TargetMode="External"/><Relationship Id="rId2" Type="http://schemas.openxmlformats.org/officeDocument/2006/relationships/numbering" Target="numbering.xml"/><Relationship Id="rId16" Type="http://schemas.openxmlformats.org/officeDocument/2006/relationships/hyperlink" Target="https://www.gov.uk/guidance/f-gas-requirements-for-air-conditioners-in-cars-and-other-vehicles" TargetMode="External"/><Relationship Id="rId20" Type="http://schemas.openxmlformats.org/officeDocument/2006/relationships/hyperlink" Target="https://www.gov.uk/government/uploads/system/uploads/attachment_data/file/296586/LIT_6963_faccc8.pdf" TargetMode="External"/><Relationship Id="rId29" Type="http://schemas.openxmlformats.org/officeDocument/2006/relationships/hyperlink" Target="https://www.gov.uk/dispose-hazardous-waste/consignment-no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3/10/enacted" TargetMode="External"/><Relationship Id="rId24" Type="http://schemas.openxmlformats.org/officeDocument/2006/relationships/hyperlink" Target="https://naturalresources.wales/guidance-and-advice/environmental-topics/waste-management/hazardous-waste-returns-1/?lang=en" TargetMode="External"/><Relationship Id="rId32" Type="http://schemas.openxmlformats.org/officeDocument/2006/relationships/hyperlink" Target="https://www.gov.uk/guidance/importing-and-exporting-waste" TargetMode="External"/><Relationship Id="rId5" Type="http://schemas.openxmlformats.org/officeDocument/2006/relationships/settings" Target="settings.xml"/><Relationship Id="rId15" Type="http://schemas.openxmlformats.org/officeDocument/2006/relationships/hyperlink" Target="http://www.hse.gov.uk/pubns/waste10.pdf" TargetMode="External"/><Relationship Id="rId23" Type="http://schemas.openxmlformats.org/officeDocument/2006/relationships/hyperlink" Target="http://a0768b4a8a31e106d8b0-50dc802554eb38a24458b98ff72d550b.r19.cf3.rackcdn.com/geho0411btwg-e-e.pdf" TargetMode="External"/><Relationship Id="rId28" Type="http://schemas.openxmlformats.org/officeDocument/2006/relationships/hyperlink" Target="https://www.gov.uk/guidance/hazardous-waste-consignment-note-supplementary-guidance" TargetMode="External"/><Relationship Id="rId10" Type="http://schemas.openxmlformats.org/officeDocument/2006/relationships/footer" Target="footer1.xml"/><Relationship Id="rId19" Type="http://schemas.openxmlformats.org/officeDocument/2006/relationships/hyperlink" Target="https://www.gov.uk/government/uploads/system/uploads/attachment_data/file/296626/geho0512bwki-e-e.pdf" TargetMode="External"/><Relationship Id="rId31" Type="http://schemas.openxmlformats.org/officeDocument/2006/relationships/hyperlink" Target="https://www.gov.uk/dispose-hazardous-wast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31736/11-528-depolluting-end-of-life-vehicles-guidance.pdf" TargetMode="External"/><Relationship Id="rId22" Type="http://schemas.openxmlformats.org/officeDocument/2006/relationships/hyperlink" Target="https://www.legislation.gov.uk/wsi/2005/1806/regulation/36/made" TargetMode="External"/><Relationship Id="rId27" Type="http://schemas.openxmlformats.org/officeDocument/2006/relationships/hyperlink" Target="https://www.gov.uk/dispose-hazardous-waste/producers-and-holders" TargetMode="External"/><Relationship Id="rId30" Type="http://schemas.openxmlformats.org/officeDocument/2006/relationships/hyperlink" Target="https://www.gov.uk/dispose-hazardous-waste/consignee-retur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C02EFE-D0F0-4BD5-8989-A7EA7EF7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2019-02-18T16:19:00Z</dcterms:created>
  <dcterms:modified xsi:type="dcterms:W3CDTF">2019-02-18T16:19:00Z</dcterms:modified>
</cp:coreProperties>
</file>