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6756D9" w:rsidP="00A6136C">
      <w:pPr>
        <w:spacing w:before="240" w:after="0"/>
        <w:rPr>
          <w:b/>
          <w:color w:val="7030A0"/>
          <w:sz w:val="24"/>
        </w:rPr>
      </w:pPr>
      <w:r>
        <w:rPr>
          <w:b/>
          <w:color w:val="7030A0"/>
          <w:sz w:val="24"/>
        </w:rPr>
        <w:t>Health and Safety</w:t>
      </w:r>
    </w:p>
    <w:p w:rsidR="00A6136C" w:rsidRDefault="00A6136C" w:rsidP="00A6136C">
      <w:pPr>
        <w:spacing w:after="0"/>
        <w:rPr>
          <w:b/>
        </w:rPr>
      </w:pPr>
      <w:r>
        <w:rPr>
          <w:b/>
        </w:rPr>
        <w:t>Content Changes 2016-2018 Revision Guide</w:t>
      </w:r>
    </w:p>
    <w:p w:rsidR="00A5430B" w:rsidRPr="00A5430B" w:rsidRDefault="00A5430B" w:rsidP="00A5430B">
      <w:pPr>
        <w:spacing w:after="0"/>
        <w:rPr>
          <w:rFonts w:ascii="Calibri" w:eastAsia="Calibri" w:hAnsi="Calibri" w:cs="Times New Roman"/>
          <w:b/>
          <w:i/>
        </w:rPr>
      </w:pPr>
      <w:r w:rsidRPr="00A5430B">
        <w:rPr>
          <w:rFonts w:ascii="Calibri" w:eastAsia="Calibri" w:hAnsi="Calibri" w:cs="Times New Roman"/>
          <w:b/>
          <w:i/>
        </w:rPr>
        <w:t xml:space="preserve">All page numbers refer to the 2016-2018 Revision Guides with red covers. </w:t>
      </w:r>
    </w:p>
    <w:p w:rsidR="00A5430B" w:rsidRDefault="00A5430B" w:rsidP="00A6136C">
      <w:pPr>
        <w:spacing w:after="0"/>
        <w:rPr>
          <w:b/>
        </w:rPr>
      </w:pPr>
    </w:p>
    <w:p w:rsidR="00905EFA" w:rsidRDefault="00905EFA" w:rsidP="00905EFA">
      <w:pPr>
        <w:rPr>
          <w:i/>
          <w:color w:val="7030A0"/>
        </w:rPr>
      </w:pPr>
      <w:r>
        <w:rPr>
          <w:i/>
          <w:color w:val="7030A0"/>
        </w:rPr>
        <w:t>Section 2: Noise, page 19</w:t>
      </w:r>
    </w:p>
    <w:p w:rsidR="00905EFA" w:rsidRDefault="00905EFA" w:rsidP="00905EFA">
      <w:r w:rsidRPr="00905EFA">
        <w:t>Noise at work can interfere with communications and make warnings harder to hear. It can also reduce people’s awareness of their surroundings.</w:t>
      </w:r>
    </w:p>
    <w:p w:rsidR="00542730" w:rsidRDefault="00542730" w:rsidP="00542730">
      <w:pPr>
        <w:rPr>
          <w:i/>
          <w:color w:val="7030A0"/>
        </w:rPr>
      </w:pPr>
      <w:r>
        <w:rPr>
          <w:i/>
          <w:color w:val="7030A0"/>
        </w:rPr>
        <w:t>Section 3: Hazards, Risk and Risk Assessment, page 24</w:t>
      </w:r>
    </w:p>
    <w:p w:rsidR="00542730" w:rsidRDefault="00542730" w:rsidP="00905EFA">
      <w:r>
        <w:t>The process of risk assessment involves:</w:t>
      </w:r>
    </w:p>
    <w:p w:rsidR="00542730" w:rsidRDefault="00542730" w:rsidP="00542730">
      <w:pPr>
        <w:pStyle w:val="ListParagraph"/>
        <w:numPr>
          <w:ilvl w:val="0"/>
          <w:numId w:val="18"/>
        </w:numPr>
      </w:pPr>
      <w:r>
        <w:t>Identifying the hazards.</w:t>
      </w:r>
    </w:p>
    <w:p w:rsidR="00542730" w:rsidRDefault="00542730" w:rsidP="00542730">
      <w:pPr>
        <w:pStyle w:val="ListParagraph"/>
        <w:numPr>
          <w:ilvl w:val="0"/>
          <w:numId w:val="18"/>
        </w:numPr>
      </w:pPr>
      <w:r>
        <w:t>Deciding who might be harmed and how.</w:t>
      </w:r>
    </w:p>
    <w:p w:rsidR="00542730" w:rsidRDefault="00542730" w:rsidP="00542730">
      <w:pPr>
        <w:pStyle w:val="ListParagraph"/>
        <w:numPr>
          <w:ilvl w:val="0"/>
          <w:numId w:val="18"/>
        </w:numPr>
      </w:pPr>
      <w:r>
        <w:t>Evaluating the risks.</w:t>
      </w:r>
    </w:p>
    <w:p w:rsidR="00542730" w:rsidRDefault="00542730" w:rsidP="00542730">
      <w:pPr>
        <w:pStyle w:val="ListParagraph"/>
        <w:numPr>
          <w:ilvl w:val="0"/>
          <w:numId w:val="18"/>
        </w:numPr>
      </w:pPr>
      <w:r>
        <w:t>Deciding on control measures.</w:t>
      </w:r>
    </w:p>
    <w:p w:rsidR="00542730" w:rsidRDefault="00542730" w:rsidP="00542730">
      <w:pPr>
        <w:pStyle w:val="ListParagraph"/>
        <w:numPr>
          <w:ilvl w:val="0"/>
          <w:numId w:val="18"/>
        </w:numPr>
      </w:pPr>
      <w:r>
        <w:t>Recording significant findings.</w:t>
      </w:r>
    </w:p>
    <w:p w:rsidR="00542730" w:rsidRPr="00905EFA" w:rsidRDefault="00542730" w:rsidP="00542730">
      <w:pPr>
        <w:pStyle w:val="ListParagraph"/>
        <w:numPr>
          <w:ilvl w:val="0"/>
          <w:numId w:val="18"/>
        </w:numPr>
      </w:pPr>
      <w:r>
        <w:t>Reviewing the assessment and updating it periodically.</w:t>
      </w:r>
    </w:p>
    <w:p w:rsidR="00905EFA" w:rsidRDefault="00905EFA" w:rsidP="00905EFA">
      <w:pPr>
        <w:rPr>
          <w:i/>
          <w:color w:val="7030A0"/>
        </w:rPr>
      </w:pPr>
      <w:r>
        <w:rPr>
          <w:i/>
          <w:color w:val="7030A0"/>
        </w:rPr>
        <w:t>NEW Learning Outcome</w:t>
      </w:r>
      <w:r w:rsidR="00542730">
        <w:rPr>
          <w:i/>
          <w:color w:val="7030A0"/>
        </w:rPr>
        <w:t xml:space="preserve"> (page 25)</w:t>
      </w:r>
      <w:r>
        <w:rPr>
          <w:i/>
          <w:color w:val="7030A0"/>
        </w:rPr>
        <w:t>: 3.6</w:t>
      </w:r>
      <w:r w:rsidRPr="00905EFA">
        <w:rPr>
          <w:rFonts w:ascii="Calibri" w:hAnsi="Calibri" w:cs="Arial"/>
          <w:szCs w:val="20"/>
        </w:rPr>
        <w:t xml:space="preserve"> </w:t>
      </w:r>
      <w:r w:rsidRPr="006A7858">
        <w:rPr>
          <w:rFonts w:ascii="Calibri" w:hAnsi="Calibri" w:cs="Arial"/>
          <w:i/>
          <w:color w:val="7030A0"/>
          <w:szCs w:val="20"/>
        </w:rPr>
        <w:t>Know the principles behind the hierarchy of ‘control measures’ as set out in current Health and Safety Executive guidance.</w:t>
      </w:r>
    </w:p>
    <w:p w:rsidR="00905EFA" w:rsidRDefault="00542730" w:rsidP="00542730">
      <w:r>
        <w:t>The steps in the hierarchy of control measures are:</w:t>
      </w:r>
    </w:p>
    <w:p w:rsidR="00542730" w:rsidRDefault="00542730" w:rsidP="00542730">
      <w:pPr>
        <w:pStyle w:val="ListParagraph"/>
        <w:numPr>
          <w:ilvl w:val="0"/>
          <w:numId w:val="19"/>
        </w:numPr>
      </w:pPr>
      <w:r>
        <w:t>Elimination</w:t>
      </w:r>
    </w:p>
    <w:p w:rsidR="00542730" w:rsidRDefault="00542730" w:rsidP="00542730">
      <w:pPr>
        <w:pStyle w:val="ListParagraph"/>
        <w:numPr>
          <w:ilvl w:val="0"/>
          <w:numId w:val="19"/>
        </w:numPr>
      </w:pPr>
      <w:r>
        <w:t>Substitution</w:t>
      </w:r>
    </w:p>
    <w:p w:rsidR="00542730" w:rsidRDefault="00542730" w:rsidP="00542730">
      <w:pPr>
        <w:pStyle w:val="ListParagraph"/>
        <w:numPr>
          <w:ilvl w:val="0"/>
          <w:numId w:val="19"/>
        </w:numPr>
      </w:pPr>
      <w:r>
        <w:t>Engineering controls</w:t>
      </w:r>
    </w:p>
    <w:p w:rsidR="00542730" w:rsidRDefault="00542730" w:rsidP="00542730">
      <w:pPr>
        <w:pStyle w:val="ListParagraph"/>
        <w:numPr>
          <w:ilvl w:val="0"/>
          <w:numId w:val="19"/>
        </w:numPr>
      </w:pPr>
      <w:r>
        <w:t>Administrative controls</w:t>
      </w:r>
    </w:p>
    <w:p w:rsidR="00542730" w:rsidRPr="00542730" w:rsidRDefault="00542730" w:rsidP="00542730">
      <w:pPr>
        <w:pStyle w:val="ListParagraph"/>
        <w:numPr>
          <w:ilvl w:val="0"/>
          <w:numId w:val="19"/>
        </w:numPr>
      </w:pPr>
      <w:r>
        <w:t>Personal Protective Equipment</w:t>
      </w:r>
    </w:p>
    <w:p w:rsidR="008A2290" w:rsidRDefault="004B7E92" w:rsidP="008A2290">
      <w:pPr>
        <w:rPr>
          <w:i/>
          <w:color w:val="7030A0"/>
        </w:rPr>
      </w:pPr>
      <w:r>
        <w:rPr>
          <w:i/>
          <w:color w:val="7030A0"/>
        </w:rPr>
        <w:t xml:space="preserve">NEW </w:t>
      </w:r>
      <w:r w:rsidR="008A2290">
        <w:rPr>
          <w:i/>
          <w:color w:val="7030A0"/>
        </w:rPr>
        <w:t xml:space="preserve">Section </w:t>
      </w:r>
      <w:r>
        <w:rPr>
          <w:i/>
          <w:color w:val="7030A0"/>
        </w:rPr>
        <w:t>4</w:t>
      </w:r>
      <w:r w:rsidR="008A2290">
        <w:rPr>
          <w:i/>
          <w:color w:val="7030A0"/>
        </w:rPr>
        <w:t xml:space="preserve">: </w:t>
      </w:r>
      <w:r>
        <w:rPr>
          <w:i/>
          <w:color w:val="7030A0"/>
        </w:rPr>
        <w:t>Hygiene and First Aid</w:t>
      </w:r>
    </w:p>
    <w:p w:rsidR="00905EFA" w:rsidRPr="006A7858" w:rsidRDefault="00905EFA" w:rsidP="004B7E92">
      <w:pPr>
        <w:rPr>
          <w:rFonts w:ascii="Calibri" w:hAnsi="Calibri" w:cs="Arial"/>
          <w:i/>
          <w:color w:val="7030A0"/>
        </w:rPr>
      </w:pPr>
      <w:r w:rsidRPr="006A7858">
        <w:rPr>
          <w:rFonts w:ascii="Calibri" w:hAnsi="Calibri" w:cs="Arial"/>
          <w:i/>
          <w:color w:val="7030A0"/>
        </w:rPr>
        <w:t>4.1 Know the importance of good hygiene in the workplace.</w:t>
      </w:r>
    </w:p>
    <w:p w:rsidR="00542730" w:rsidRPr="006A7858" w:rsidRDefault="00542730" w:rsidP="004B7E92">
      <w:pPr>
        <w:rPr>
          <w:rFonts w:ascii="Calibri" w:hAnsi="Calibri" w:cs="Arial"/>
          <w:i/>
          <w:color w:val="7030A0"/>
        </w:rPr>
      </w:pPr>
      <w:r w:rsidRPr="006A7858">
        <w:rPr>
          <w:rFonts w:ascii="Calibri" w:hAnsi="Calibri" w:cs="Arial"/>
          <w:i/>
          <w:color w:val="7030A0"/>
        </w:rPr>
        <w:t>4.2 Know how to maintain good hygiene in the workplace.</w:t>
      </w:r>
    </w:p>
    <w:p w:rsidR="00B05B09" w:rsidRDefault="00B05B09" w:rsidP="00542730">
      <w:pPr>
        <w:spacing w:line="240" w:lineRule="auto"/>
      </w:pPr>
    </w:p>
    <w:p w:rsidR="00B05B09" w:rsidRDefault="00B05B09" w:rsidP="00542730">
      <w:pPr>
        <w:spacing w:line="240" w:lineRule="auto"/>
      </w:pPr>
    </w:p>
    <w:p w:rsidR="00542730" w:rsidRPr="00C70C76" w:rsidRDefault="00542730" w:rsidP="00542730">
      <w:pPr>
        <w:spacing w:line="240" w:lineRule="auto"/>
      </w:pPr>
      <w:r>
        <w:t>Good personal hygiene is necessary for people working in the waste and recycling industry as it prevents infections and other illnesses caused by waste.</w:t>
      </w:r>
    </w:p>
    <w:p w:rsidR="00542730" w:rsidRPr="00A26D32" w:rsidRDefault="00542730" w:rsidP="00542730">
      <w:pPr>
        <w:spacing w:line="240" w:lineRule="auto"/>
        <w:rPr>
          <w:b/>
        </w:rPr>
      </w:pPr>
      <w:r>
        <w:rPr>
          <w:b/>
        </w:rPr>
        <w:t xml:space="preserve">Maintaining </w:t>
      </w:r>
      <w:r w:rsidRPr="00A26D32">
        <w:rPr>
          <w:b/>
        </w:rPr>
        <w:t>Personal Hygiene</w:t>
      </w:r>
    </w:p>
    <w:p w:rsidR="00542730" w:rsidRPr="00113DD7" w:rsidRDefault="00542730" w:rsidP="00542730">
      <w:pPr>
        <w:pStyle w:val="ListParagraph"/>
        <w:numPr>
          <w:ilvl w:val="0"/>
          <w:numId w:val="21"/>
        </w:numPr>
        <w:spacing w:after="0" w:line="240" w:lineRule="auto"/>
        <w:rPr>
          <w:lang w:val="en-US"/>
        </w:rPr>
      </w:pPr>
      <w:r w:rsidRPr="00113DD7">
        <w:rPr>
          <w:b/>
        </w:rPr>
        <w:t>You</w:t>
      </w:r>
      <w:r>
        <w:t xml:space="preserve"> should </w:t>
      </w:r>
      <w:r w:rsidRPr="00113DD7">
        <w:rPr>
          <w:lang w:val="en-US"/>
        </w:rPr>
        <w:t xml:space="preserve">clean hands (and arms if necessary): </w:t>
      </w:r>
    </w:p>
    <w:p w:rsidR="00542730" w:rsidRPr="007E2C05" w:rsidRDefault="00542730" w:rsidP="00542730">
      <w:pPr>
        <w:pStyle w:val="ListParagraph"/>
        <w:numPr>
          <w:ilvl w:val="0"/>
          <w:numId w:val="22"/>
        </w:numPr>
        <w:spacing w:after="0" w:line="240" w:lineRule="auto"/>
      </w:pPr>
      <w:r w:rsidRPr="00A92913">
        <w:rPr>
          <w:lang w:val="en-US"/>
        </w:rPr>
        <w:t xml:space="preserve">before eating </w:t>
      </w:r>
    </w:p>
    <w:p w:rsidR="00542730" w:rsidRPr="007E2C05" w:rsidRDefault="00542730" w:rsidP="00542730">
      <w:pPr>
        <w:pStyle w:val="ListParagraph"/>
        <w:numPr>
          <w:ilvl w:val="0"/>
          <w:numId w:val="22"/>
        </w:numPr>
        <w:spacing w:after="0" w:line="240" w:lineRule="auto"/>
      </w:pPr>
      <w:r w:rsidRPr="00A92913">
        <w:rPr>
          <w:lang w:val="en-US"/>
        </w:rPr>
        <w:t xml:space="preserve">before drinking </w:t>
      </w:r>
    </w:p>
    <w:p w:rsidR="00542730" w:rsidRPr="007E2C05" w:rsidRDefault="00542730" w:rsidP="00542730">
      <w:pPr>
        <w:pStyle w:val="ListParagraph"/>
        <w:numPr>
          <w:ilvl w:val="0"/>
          <w:numId w:val="22"/>
        </w:numPr>
        <w:spacing w:after="0" w:line="240" w:lineRule="auto"/>
      </w:pPr>
      <w:r w:rsidRPr="00A92913">
        <w:rPr>
          <w:lang w:val="en-US"/>
        </w:rPr>
        <w:t xml:space="preserve">before smoking </w:t>
      </w:r>
    </w:p>
    <w:p w:rsidR="00542730" w:rsidRPr="007E2C05" w:rsidRDefault="00542730" w:rsidP="00542730">
      <w:pPr>
        <w:pStyle w:val="ListParagraph"/>
        <w:numPr>
          <w:ilvl w:val="0"/>
          <w:numId w:val="22"/>
        </w:numPr>
        <w:spacing w:after="0" w:line="240" w:lineRule="auto"/>
      </w:pPr>
      <w:r w:rsidRPr="00A92913">
        <w:rPr>
          <w:lang w:val="en-US"/>
        </w:rPr>
        <w:t>before using the telephone</w:t>
      </w:r>
    </w:p>
    <w:p w:rsidR="00542730" w:rsidRPr="007E2C05" w:rsidRDefault="00542730" w:rsidP="00542730">
      <w:pPr>
        <w:pStyle w:val="ListParagraph"/>
        <w:numPr>
          <w:ilvl w:val="0"/>
          <w:numId w:val="22"/>
        </w:numPr>
        <w:spacing w:after="0" w:line="240" w:lineRule="auto"/>
      </w:pPr>
      <w:r w:rsidRPr="00A92913">
        <w:rPr>
          <w:lang w:val="en-US"/>
        </w:rPr>
        <w:t>before taking medication</w:t>
      </w:r>
    </w:p>
    <w:p w:rsidR="00542730" w:rsidRPr="007E2C05" w:rsidRDefault="00542730" w:rsidP="00542730">
      <w:pPr>
        <w:pStyle w:val="ListParagraph"/>
        <w:numPr>
          <w:ilvl w:val="0"/>
          <w:numId w:val="22"/>
        </w:numPr>
        <w:spacing w:after="0" w:line="240" w:lineRule="auto"/>
      </w:pPr>
      <w:r w:rsidRPr="00A92913">
        <w:rPr>
          <w:lang w:val="en-US"/>
        </w:rPr>
        <w:t>before inserting contact lenses</w:t>
      </w:r>
    </w:p>
    <w:p w:rsidR="00542730" w:rsidRPr="007E2C05" w:rsidRDefault="00542730" w:rsidP="00542730">
      <w:pPr>
        <w:pStyle w:val="ListParagraph"/>
        <w:numPr>
          <w:ilvl w:val="0"/>
          <w:numId w:val="22"/>
        </w:numPr>
        <w:spacing w:after="0" w:line="240" w:lineRule="auto"/>
      </w:pPr>
      <w:r w:rsidRPr="00A92913">
        <w:rPr>
          <w:lang w:val="en-US"/>
        </w:rPr>
        <w:t xml:space="preserve">before and after wearing gloves </w:t>
      </w:r>
    </w:p>
    <w:p w:rsidR="00542730" w:rsidRPr="00113DD7" w:rsidRDefault="00542730" w:rsidP="00542730">
      <w:pPr>
        <w:pStyle w:val="ListParagraph"/>
        <w:numPr>
          <w:ilvl w:val="0"/>
          <w:numId w:val="22"/>
        </w:numPr>
        <w:spacing w:after="0" w:line="240" w:lineRule="auto"/>
      </w:pPr>
      <w:r w:rsidRPr="00A92913">
        <w:rPr>
          <w:lang w:val="en-US"/>
        </w:rPr>
        <w:t xml:space="preserve">before and after using the toilet </w:t>
      </w:r>
    </w:p>
    <w:p w:rsidR="00542730" w:rsidRPr="00113DD7" w:rsidRDefault="00542730" w:rsidP="00542730">
      <w:pPr>
        <w:pStyle w:val="ListParagraph"/>
        <w:numPr>
          <w:ilvl w:val="0"/>
          <w:numId w:val="22"/>
        </w:numPr>
        <w:spacing w:after="0" w:line="240" w:lineRule="auto"/>
      </w:pPr>
      <w:r w:rsidRPr="00A92913">
        <w:rPr>
          <w:lang w:val="en-US"/>
        </w:rPr>
        <w:t>after coming into contact with contaminated material (even if gloves were worn)</w:t>
      </w:r>
    </w:p>
    <w:p w:rsidR="00542730" w:rsidRDefault="00542730" w:rsidP="00542730">
      <w:pPr>
        <w:pStyle w:val="ListParagraph"/>
        <w:numPr>
          <w:ilvl w:val="0"/>
          <w:numId w:val="20"/>
        </w:numPr>
        <w:spacing w:line="240" w:lineRule="auto"/>
        <w:rPr>
          <w:lang w:val="en-US"/>
        </w:rPr>
      </w:pPr>
      <w:r w:rsidRPr="00113DD7">
        <w:rPr>
          <w:b/>
          <w:lang w:val="en-US"/>
        </w:rPr>
        <w:t xml:space="preserve">You </w:t>
      </w:r>
      <w:r w:rsidRPr="00113DD7">
        <w:rPr>
          <w:lang w:val="en-US"/>
        </w:rPr>
        <w:t>should cover all new and existing cuts and grazes with waterproof dressings and/or gloves before starting work. If cuts and grazes occur</w:t>
      </w:r>
      <w:r>
        <w:rPr>
          <w:lang w:val="en-US"/>
        </w:rPr>
        <w:t xml:space="preserve"> during the working day</w:t>
      </w:r>
      <w:r w:rsidRPr="00113DD7">
        <w:rPr>
          <w:lang w:val="en-US"/>
        </w:rPr>
        <w:t>, clean them immediately with soap and running water and apply a waterproof dressing</w:t>
      </w:r>
      <w:r w:rsidR="002E0524">
        <w:rPr>
          <w:lang w:val="en-US"/>
        </w:rPr>
        <w:t>.</w:t>
      </w:r>
      <w:r w:rsidRPr="00113DD7">
        <w:rPr>
          <w:lang w:val="en-US"/>
        </w:rPr>
        <w:t xml:space="preserve"> </w:t>
      </w:r>
    </w:p>
    <w:p w:rsidR="00542730" w:rsidRDefault="00542730" w:rsidP="00542730">
      <w:pPr>
        <w:pStyle w:val="ListParagraph"/>
        <w:numPr>
          <w:ilvl w:val="0"/>
          <w:numId w:val="20"/>
        </w:numPr>
        <w:spacing w:line="240" w:lineRule="auto"/>
        <w:rPr>
          <w:lang w:val="en-US"/>
        </w:rPr>
      </w:pPr>
      <w:r w:rsidRPr="00113DD7">
        <w:rPr>
          <w:b/>
          <w:lang w:val="en-US"/>
        </w:rPr>
        <w:t>You</w:t>
      </w:r>
      <w:r>
        <w:rPr>
          <w:lang w:val="en-US"/>
        </w:rPr>
        <w:t xml:space="preserve"> should </w:t>
      </w:r>
      <w:r w:rsidRPr="00113DD7">
        <w:rPr>
          <w:lang w:val="en-US"/>
        </w:rPr>
        <w:t>avoid hand-to-mouth or hand-to-eye contact</w:t>
      </w:r>
      <w:r w:rsidR="002E0524">
        <w:rPr>
          <w:lang w:val="en-US"/>
        </w:rPr>
        <w:t>.</w:t>
      </w:r>
      <w:r w:rsidRPr="00113DD7">
        <w:rPr>
          <w:lang w:val="en-US"/>
        </w:rPr>
        <w:t xml:space="preserve"> </w:t>
      </w:r>
    </w:p>
    <w:p w:rsidR="00542730" w:rsidRPr="00113DD7" w:rsidRDefault="00542730" w:rsidP="00542730">
      <w:pPr>
        <w:pStyle w:val="ListParagraph"/>
        <w:numPr>
          <w:ilvl w:val="0"/>
          <w:numId w:val="20"/>
        </w:numPr>
        <w:spacing w:line="240" w:lineRule="auto"/>
        <w:rPr>
          <w:lang w:val="en-US"/>
        </w:rPr>
      </w:pPr>
      <w:r w:rsidRPr="00113DD7">
        <w:rPr>
          <w:b/>
          <w:lang w:val="en-US"/>
        </w:rPr>
        <w:t>You</w:t>
      </w:r>
      <w:r>
        <w:rPr>
          <w:lang w:val="en-US"/>
        </w:rPr>
        <w:t xml:space="preserve"> should </w:t>
      </w:r>
      <w:r w:rsidRPr="00113DD7">
        <w:rPr>
          <w:lang w:val="en-US"/>
        </w:rPr>
        <w:t xml:space="preserve">avoid transferring contamination (e.g. from used gloves) to other objects which may then be touched without protection (e.g. mobile phones). </w:t>
      </w:r>
    </w:p>
    <w:p w:rsidR="00905EFA" w:rsidRPr="006A7858" w:rsidRDefault="00905EFA" w:rsidP="004B7E92">
      <w:pPr>
        <w:rPr>
          <w:rFonts w:ascii="Calibri" w:hAnsi="Calibri" w:cs="Arial"/>
          <w:i/>
          <w:color w:val="7030A0"/>
        </w:rPr>
      </w:pPr>
      <w:r w:rsidRPr="006A7858">
        <w:rPr>
          <w:rFonts w:ascii="Calibri" w:hAnsi="Calibri" w:cs="Arial"/>
          <w:i/>
          <w:color w:val="7030A0"/>
        </w:rPr>
        <w:t>4.3 Know your responsibilities for the provision of adequate first aid within the workplace.</w:t>
      </w:r>
    </w:p>
    <w:p w:rsidR="00542730" w:rsidRPr="00542730" w:rsidRDefault="00542730" w:rsidP="00542730">
      <w:r w:rsidRPr="00542730">
        <w:t>Operators are required to provide adequate washing facilities. They must also have:</w:t>
      </w:r>
    </w:p>
    <w:p w:rsidR="00542730" w:rsidRPr="00542730" w:rsidRDefault="002E0524" w:rsidP="00542730">
      <w:pPr>
        <w:pStyle w:val="ListParagraph"/>
        <w:numPr>
          <w:ilvl w:val="0"/>
          <w:numId w:val="23"/>
        </w:numPr>
      </w:pPr>
      <w:r>
        <w:t>A s</w:t>
      </w:r>
      <w:r w:rsidR="00542730" w:rsidRPr="00542730">
        <w:t>uitably stocked first-aid box</w:t>
      </w:r>
    </w:p>
    <w:p w:rsidR="00542730" w:rsidRPr="00542730" w:rsidRDefault="00542730" w:rsidP="00542730">
      <w:pPr>
        <w:pStyle w:val="ListParagraph"/>
        <w:numPr>
          <w:ilvl w:val="0"/>
          <w:numId w:val="23"/>
        </w:numPr>
      </w:pPr>
      <w:r w:rsidRPr="00542730">
        <w:t>A</w:t>
      </w:r>
      <w:r w:rsidR="002E0524">
        <w:t>n a</w:t>
      </w:r>
      <w:r w:rsidRPr="00542730">
        <w:t xml:space="preserve">ppointed person to take charge of </w:t>
      </w:r>
      <w:bookmarkStart w:id="0" w:name="_GoBack"/>
      <w:bookmarkEnd w:id="0"/>
      <w:r w:rsidRPr="00542730">
        <w:t>first-aid arrangements</w:t>
      </w:r>
    </w:p>
    <w:p w:rsidR="00542730" w:rsidRPr="00542730" w:rsidRDefault="006A7858" w:rsidP="00542730">
      <w:pPr>
        <w:pStyle w:val="ListParagraph"/>
        <w:numPr>
          <w:ilvl w:val="0"/>
          <w:numId w:val="23"/>
        </w:numPr>
      </w:pPr>
      <w:r>
        <w:rPr>
          <w:i/>
          <w:noProof/>
          <w:color w:val="7030A0"/>
          <w:lang w:eastAsia="en-GB"/>
        </w:rPr>
        <w:drawing>
          <wp:anchor distT="0" distB="0" distL="114300" distR="114300" simplePos="0" relativeHeight="251662336" behindDoc="0" locked="0" layoutInCell="1" allowOverlap="1" wp14:anchorId="27FC6833" wp14:editId="19363BCE">
            <wp:simplePos x="0" y="0"/>
            <wp:positionH relativeFrom="column">
              <wp:posOffset>2230836</wp:posOffset>
            </wp:positionH>
            <wp:positionV relativeFrom="paragraph">
              <wp:posOffset>82287</wp:posOffset>
            </wp:positionV>
            <wp:extent cx="1082659" cy="817112"/>
            <wp:effectExtent l="133350" t="209550" r="118110" b="2120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72183727.jpg"/>
                    <pic:cNvPicPr/>
                  </pic:nvPicPr>
                  <pic:blipFill>
                    <a:blip r:embed="rId9" cstate="print">
                      <a:extLst>
                        <a:ext uri="{28A0092B-C50C-407E-A947-70E740481C1C}">
                          <a14:useLocalDpi xmlns:a14="http://schemas.microsoft.com/office/drawing/2010/main" val="0"/>
                        </a:ext>
                      </a:extLst>
                    </a:blip>
                    <a:stretch>
                      <a:fillRect/>
                    </a:stretch>
                  </pic:blipFill>
                  <pic:spPr>
                    <a:xfrm rot="20063356">
                      <a:off x="0" y="0"/>
                      <a:ext cx="1082659" cy="817112"/>
                    </a:xfrm>
                    <a:prstGeom prst="rect">
                      <a:avLst/>
                    </a:prstGeom>
                  </pic:spPr>
                </pic:pic>
              </a:graphicData>
            </a:graphic>
            <wp14:sizeRelH relativeFrom="page">
              <wp14:pctWidth>0</wp14:pctWidth>
            </wp14:sizeRelH>
            <wp14:sizeRelV relativeFrom="page">
              <wp14:pctHeight>0</wp14:pctHeight>
            </wp14:sizeRelV>
          </wp:anchor>
        </w:drawing>
      </w:r>
      <w:r w:rsidR="00542730" w:rsidRPr="00542730">
        <w:t>Information for all employees giving details of first-aid arrangements</w:t>
      </w:r>
    </w:p>
    <w:p w:rsidR="00542730" w:rsidRDefault="00542730" w:rsidP="00542730">
      <w:pPr>
        <w:rPr>
          <w:i/>
          <w:color w:val="7030A0"/>
        </w:rPr>
      </w:pPr>
    </w:p>
    <w:p w:rsidR="00542730" w:rsidRDefault="00542730" w:rsidP="00542730">
      <w:pPr>
        <w:rPr>
          <w:i/>
          <w:color w:val="7030A0"/>
        </w:rPr>
      </w:pPr>
    </w:p>
    <w:p w:rsidR="00542730" w:rsidRDefault="00542730" w:rsidP="00542730">
      <w:pPr>
        <w:rPr>
          <w:i/>
          <w:color w:val="7030A0"/>
        </w:rPr>
      </w:pPr>
    </w:p>
    <w:p w:rsidR="00542730" w:rsidRDefault="00542730" w:rsidP="00542730">
      <w:pPr>
        <w:rPr>
          <w:i/>
          <w:color w:val="7030A0"/>
        </w:rPr>
      </w:pPr>
    </w:p>
    <w:p w:rsidR="00542730" w:rsidRDefault="00542730" w:rsidP="00542730">
      <w:pPr>
        <w:rPr>
          <w:i/>
          <w:color w:val="7030A0"/>
        </w:rPr>
      </w:pPr>
      <w:r w:rsidRPr="00542730">
        <w:rPr>
          <w:i/>
          <w:color w:val="7030A0"/>
        </w:rPr>
        <w:t xml:space="preserve">Section </w:t>
      </w:r>
      <w:r>
        <w:rPr>
          <w:i/>
          <w:color w:val="7030A0"/>
        </w:rPr>
        <w:t>5</w:t>
      </w:r>
      <w:r w:rsidRPr="00542730">
        <w:rPr>
          <w:i/>
          <w:color w:val="7030A0"/>
        </w:rPr>
        <w:t xml:space="preserve">: </w:t>
      </w:r>
      <w:r>
        <w:rPr>
          <w:i/>
          <w:color w:val="7030A0"/>
        </w:rPr>
        <w:t>Safety Signs and Information</w:t>
      </w:r>
      <w:r w:rsidRPr="00542730">
        <w:rPr>
          <w:i/>
          <w:color w:val="7030A0"/>
        </w:rPr>
        <w:t xml:space="preserve">, page </w:t>
      </w:r>
      <w:r>
        <w:rPr>
          <w:i/>
          <w:color w:val="7030A0"/>
        </w:rPr>
        <w:t>3</w:t>
      </w:r>
      <w:r w:rsidR="006A7858">
        <w:rPr>
          <w:i/>
          <w:color w:val="7030A0"/>
        </w:rPr>
        <w:t>1</w:t>
      </w:r>
    </w:p>
    <w:p w:rsidR="00542730" w:rsidRDefault="00542730" w:rsidP="00542730">
      <w:pPr>
        <w:spacing w:line="240" w:lineRule="auto"/>
      </w:pPr>
      <w:r>
        <w:t>There are four types of safety signs:</w:t>
      </w:r>
    </w:p>
    <w:p w:rsidR="00542730" w:rsidRDefault="00542730" w:rsidP="00542730">
      <w:pPr>
        <w:pStyle w:val="ListParagraph"/>
        <w:numPr>
          <w:ilvl w:val="0"/>
          <w:numId w:val="24"/>
        </w:numPr>
        <w:spacing w:line="240" w:lineRule="auto"/>
        <w:ind w:left="360"/>
      </w:pPr>
      <w:r>
        <w:t>Mandatory (blue and white) – prescribing a specific behaviour.</w:t>
      </w:r>
    </w:p>
    <w:p w:rsidR="00542730" w:rsidRDefault="00542730" w:rsidP="00542730">
      <w:pPr>
        <w:pStyle w:val="ListParagraph"/>
        <w:numPr>
          <w:ilvl w:val="0"/>
          <w:numId w:val="24"/>
        </w:numPr>
        <w:spacing w:line="240" w:lineRule="auto"/>
        <w:ind w:left="360"/>
      </w:pPr>
      <w:r>
        <w:t>Prohibition/Danger (red) – prohibiting dangerous behaviour.</w:t>
      </w:r>
    </w:p>
    <w:p w:rsidR="00542730" w:rsidRDefault="00542730" w:rsidP="00542730">
      <w:pPr>
        <w:pStyle w:val="ListParagraph"/>
        <w:numPr>
          <w:ilvl w:val="0"/>
          <w:numId w:val="24"/>
        </w:numPr>
        <w:spacing w:line="240" w:lineRule="auto"/>
        <w:ind w:left="360"/>
      </w:pPr>
      <w:r>
        <w:t>Warning (yellow) – warning about a hazard/danger.</w:t>
      </w:r>
    </w:p>
    <w:p w:rsidR="00542730" w:rsidRPr="008E4BB6" w:rsidRDefault="00542730" w:rsidP="00542730">
      <w:pPr>
        <w:pStyle w:val="ListParagraph"/>
        <w:numPr>
          <w:ilvl w:val="0"/>
          <w:numId w:val="24"/>
        </w:numPr>
        <w:spacing w:line="240" w:lineRule="auto"/>
        <w:ind w:left="360"/>
      </w:pPr>
      <w:r>
        <w:t>Emergency (green) – a sign marking emergency exits, first aid etc</w:t>
      </w:r>
      <w:r w:rsidR="00F274B0">
        <w:t>.</w:t>
      </w:r>
    </w:p>
    <w:p w:rsidR="00542730" w:rsidRPr="00542730" w:rsidRDefault="00542730" w:rsidP="00542730">
      <w:r w:rsidRPr="00542730">
        <w:t>A site should have health and safety rules that visitors to the site should be told about. Operators should consider providing a copy of these rules in advance and telling site visitors about hazards when they come on site.</w:t>
      </w:r>
    </w:p>
    <w:p w:rsidR="00905EFA" w:rsidRDefault="00905EFA" w:rsidP="004B7E92">
      <w:pPr>
        <w:rPr>
          <w:i/>
          <w:color w:val="7030A0"/>
        </w:rPr>
      </w:pPr>
      <w:r>
        <w:rPr>
          <w:i/>
          <w:color w:val="7030A0"/>
        </w:rPr>
        <w:t>REMOVED Learning outcome: 6.5 Know who is permitted to enter a confined space once tests have been carried out.</w:t>
      </w:r>
    </w:p>
    <w:p w:rsidR="00905EFA" w:rsidRDefault="00905EFA" w:rsidP="004B7E92">
      <w:pPr>
        <w:rPr>
          <w:i/>
          <w:color w:val="7030A0"/>
        </w:rPr>
      </w:pPr>
      <w:r>
        <w:rPr>
          <w:i/>
          <w:color w:val="7030A0"/>
        </w:rPr>
        <w:t xml:space="preserve">NEW Learning Outcome: 6.6 Know how to differentiate between a </w:t>
      </w:r>
      <w:r w:rsidR="00B76DBD">
        <w:rPr>
          <w:i/>
          <w:color w:val="7030A0"/>
        </w:rPr>
        <w:t>P</w:t>
      </w:r>
      <w:r>
        <w:rPr>
          <w:i/>
          <w:color w:val="7030A0"/>
        </w:rPr>
        <w:t xml:space="preserve">ermit to </w:t>
      </w:r>
      <w:r w:rsidR="00B76DBD">
        <w:rPr>
          <w:i/>
          <w:color w:val="7030A0"/>
        </w:rPr>
        <w:t>W</w:t>
      </w:r>
      <w:r>
        <w:rPr>
          <w:i/>
          <w:color w:val="7030A0"/>
        </w:rPr>
        <w:t>ork and a normal risk assessment</w:t>
      </w:r>
      <w:r w:rsidR="00B76DBD">
        <w:rPr>
          <w:i/>
          <w:color w:val="7030A0"/>
        </w:rPr>
        <w:t>.</w:t>
      </w:r>
    </w:p>
    <w:p w:rsidR="001750D3" w:rsidRDefault="00542730" w:rsidP="001750D3">
      <w:pPr>
        <w:rPr>
          <w:i/>
          <w:color w:val="7030A0"/>
        </w:rPr>
      </w:pPr>
      <w:r w:rsidRPr="00542730">
        <w:rPr>
          <w:i/>
          <w:color w:val="7030A0"/>
        </w:rPr>
        <w:t xml:space="preserve">Section </w:t>
      </w:r>
      <w:r>
        <w:rPr>
          <w:i/>
          <w:color w:val="7030A0"/>
        </w:rPr>
        <w:t>7</w:t>
      </w:r>
      <w:r w:rsidRPr="00542730">
        <w:rPr>
          <w:i/>
          <w:color w:val="7030A0"/>
        </w:rPr>
        <w:t xml:space="preserve">: </w:t>
      </w:r>
      <w:r>
        <w:rPr>
          <w:i/>
          <w:color w:val="7030A0"/>
        </w:rPr>
        <w:t>LOLER and PUWER</w:t>
      </w:r>
      <w:r w:rsidRPr="00542730">
        <w:rPr>
          <w:i/>
          <w:color w:val="7030A0"/>
        </w:rPr>
        <w:t xml:space="preserve">, page </w:t>
      </w:r>
      <w:r w:rsidR="001750D3">
        <w:rPr>
          <w:i/>
          <w:color w:val="7030A0"/>
        </w:rPr>
        <w:t>38</w:t>
      </w:r>
    </w:p>
    <w:p w:rsidR="00542730" w:rsidRPr="0094743E" w:rsidRDefault="00542730" w:rsidP="001750D3">
      <w:r w:rsidRPr="0094743E">
        <w:t>Lifting equipment should be:</w:t>
      </w:r>
    </w:p>
    <w:p w:rsidR="00542730" w:rsidRPr="0094743E" w:rsidRDefault="00542730" w:rsidP="00542730">
      <w:pPr>
        <w:pStyle w:val="ListParagraph"/>
        <w:numPr>
          <w:ilvl w:val="0"/>
          <w:numId w:val="26"/>
        </w:numPr>
        <w:spacing w:line="240" w:lineRule="auto"/>
      </w:pPr>
      <w:r w:rsidRPr="0094743E">
        <w:t>Fit for purpose.</w:t>
      </w:r>
    </w:p>
    <w:p w:rsidR="00542730" w:rsidRPr="0094743E" w:rsidRDefault="00542730" w:rsidP="00542730">
      <w:pPr>
        <w:pStyle w:val="ListParagraph"/>
        <w:numPr>
          <w:ilvl w:val="0"/>
          <w:numId w:val="26"/>
        </w:numPr>
        <w:spacing w:line="240" w:lineRule="auto"/>
      </w:pPr>
      <w:r w:rsidRPr="0094743E">
        <w:t>Suitably marked.</w:t>
      </w:r>
    </w:p>
    <w:p w:rsidR="00542730" w:rsidRPr="0094743E" w:rsidRDefault="00542730" w:rsidP="00542730">
      <w:pPr>
        <w:pStyle w:val="ListParagraph"/>
        <w:numPr>
          <w:ilvl w:val="0"/>
          <w:numId w:val="26"/>
        </w:numPr>
        <w:spacing w:line="240" w:lineRule="auto"/>
      </w:pPr>
      <w:r w:rsidRPr="0094743E">
        <w:t>Sufficiently strong, stable and suitable for the load.</w:t>
      </w:r>
    </w:p>
    <w:p w:rsidR="00542730" w:rsidRPr="0094743E" w:rsidRDefault="00542730" w:rsidP="00542730">
      <w:pPr>
        <w:pStyle w:val="ListParagraph"/>
        <w:numPr>
          <w:ilvl w:val="0"/>
          <w:numId w:val="26"/>
        </w:numPr>
        <w:spacing w:line="240" w:lineRule="auto"/>
      </w:pPr>
      <w:r w:rsidRPr="0094743E">
        <w:t>Positioned or installed to prevent the risk of injury.</w:t>
      </w:r>
    </w:p>
    <w:p w:rsidR="00542730" w:rsidRPr="0094743E" w:rsidRDefault="00542730" w:rsidP="00542730">
      <w:pPr>
        <w:pStyle w:val="ListParagraph"/>
        <w:numPr>
          <w:ilvl w:val="0"/>
          <w:numId w:val="26"/>
        </w:numPr>
        <w:spacing w:line="240" w:lineRule="auto"/>
      </w:pPr>
      <w:r w:rsidRPr="0094743E">
        <w:t>Visibly marked with any appropriate safety information.</w:t>
      </w:r>
    </w:p>
    <w:p w:rsidR="00542730" w:rsidRPr="0094743E" w:rsidRDefault="00542730" w:rsidP="00542730">
      <w:pPr>
        <w:pStyle w:val="ListParagraph"/>
        <w:numPr>
          <w:ilvl w:val="0"/>
          <w:numId w:val="26"/>
        </w:numPr>
        <w:spacing w:line="240" w:lineRule="auto"/>
      </w:pPr>
      <w:r w:rsidRPr="0094743E">
        <w:t>Checked before first use, after assembly, every year for compliance and after exceptional circumstances.</w:t>
      </w:r>
    </w:p>
    <w:p w:rsidR="00542730" w:rsidRDefault="00542730" w:rsidP="00542730">
      <w:pPr>
        <w:rPr>
          <w:i/>
          <w:color w:val="7030A0"/>
        </w:rPr>
      </w:pPr>
    </w:p>
    <w:p w:rsidR="00542730" w:rsidRDefault="00542730" w:rsidP="00542730">
      <w:pPr>
        <w:rPr>
          <w:i/>
          <w:color w:val="7030A0"/>
        </w:rPr>
      </w:pPr>
    </w:p>
    <w:p w:rsidR="00542730" w:rsidRDefault="00542730" w:rsidP="00542730">
      <w:pPr>
        <w:rPr>
          <w:i/>
          <w:color w:val="7030A0"/>
        </w:rPr>
      </w:pPr>
    </w:p>
    <w:p w:rsidR="00542730" w:rsidRDefault="00542730" w:rsidP="00542730">
      <w:pPr>
        <w:rPr>
          <w:i/>
          <w:color w:val="7030A0"/>
        </w:rPr>
      </w:pPr>
    </w:p>
    <w:p w:rsidR="006A7858" w:rsidRDefault="00542730" w:rsidP="00542730">
      <w:pPr>
        <w:rPr>
          <w:i/>
          <w:color w:val="7030A0"/>
        </w:rPr>
      </w:pPr>
      <w:r w:rsidRPr="00542730">
        <w:rPr>
          <w:i/>
          <w:color w:val="7030A0"/>
        </w:rPr>
        <w:t xml:space="preserve">Section 7: </w:t>
      </w:r>
      <w:r>
        <w:rPr>
          <w:i/>
          <w:color w:val="7030A0"/>
        </w:rPr>
        <w:t>Maintenance</w:t>
      </w:r>
      <w:r w:rsidR="006A7858">
        <w:rPr>
          <w:i/>
          <w:color w:val="7030A0"/>
        </w:rPr>
        <w:t>, page 39</w:t>
      </w:r>
    </w:p>
    <w:p w:rsidR="00905EFA" w:rsidRPr="00542730" w:rsidRDefault="00542730" w:rsidP="00542730">
      <w:r w:rsidRPr="00542730">
        <w:t>Lifting equipment may need to be thoroughly examined in use a periods specified in the regulations (i.e. at least six-monthly for accessories and equipment used for lifting people and, at a minimum, annually for all other equipment).</w:t>
      </w:r>
    </w:p>
    <w:p w:rsidR="004B7E92" w:rsidRDefault="004B7E92" w:rsidP="004B7E92">
      <w:pPr>
        <w:rPr>
          <w:i/>
          <w:color w:val="7030A0"/>
        </w:rPr>
      </w:pPr>
      <w:r>
        <w:rPr>
          <w:i/>
          <w:color w:val="7030A0"/>
        </w:rPr>
        <w:t>NEW Section 8: Requirements of Using Machinery</w:t>
      </w:r>
    </w:p>
    <w:p w:rsidR="004B7E92" w:rsidRPr="006A7858" w:rsidRDefault="00905EFA" w:rsidP="006756D9">
      <w:pPr>
        <w:rPr>
          <w:rFonts w:ascii="Calibri" w:hAnsi="Calibri" w:cs="Arial"/>
          <w:i/>
          <w:color w:val="7030A0"/>
        </w:rPr>
      </w:pPr>
      <w:r w:rsidRPr="006A7858">
        <w:rPr>
          <w:rFonts w:ascii="Calibri" w:hAnsi="Calibri" w:cs="Arial"/>
          <w:i/>
          <w:color w:val="7030A0"/>
        </w:rPr>
        <w:t>8.1 Know what a lock out system is.</w:t>
      </w:r>
    </w:p>
    <w:p w:rsidR="00905EFA" w:rsidRPr="006A7858" w:rsidRDefault="00905EFA" w:rsidP="006756D9">
      <w:pPr>
        <w:rPr>
          <w:rFonts w:ascii="Calibri" w:hAnsi="Calibri" w:cs="Arial"/>
          <w:i/>
          <w:color w:val="7030A0"/>
        </w:rPr>
      </w:pPr>
      <w:r w:rsidRPr="006A7858">
        <w:rPr>
          <w:rFonts w:ascii="Calibri" w:hAnsi="Calibri" w:cs="Arial"/>
          <w:i/>
          <w:color w:val="7030A0"/>
        </w:rPr>
        <w:t>8.2 Know when a lock out system is required.</w:t>
      </w:r>
    </w:p>
    <w:p w:rsidR="00905EFA" w:rsidRPr="00CC0AC9" w:rsidRDefault="00905EFA" w:rsidP="006756D9">
      <w:pPr>
        <w:rPr>
          <w:i/>
          <w:color w:val="7030A0"/>
        </w:rPr>
      </w:pPr>
      <w:r w:rsidRPr="006A7858">
        <w:rPr>
          <w:rFonts w:ascii="Calibri" w:hAnsi="Calibri" w:cs="Arial"/>
          <w:i/>
          <w:color w:val="7030A0"/>
        </w:rPr>
        <w:t>8.3 Know how to use a lock out system.</w:t>
      </w:r>
    </w:p>
    <w:p w:rsidR="005A3E35" w:rsidRDefault="005A3E35" w:rsidP="005A3E35">
      <w:pPr>
        <w:rPr>
          <w:color w:val="000000" w:themeColor="text1"/>
        </w:rPr>
      </w:pPr>
      <w:r>
        <w:rPr>
          <w:color w:val="000000" w:themeColor="text1"/>
        </w:rPr>
        <w:t>An operator should have clear rules on what isolation procedures are required, and in what circumstances. However, isolation will normally work as follows:</w:t>
      </w:r>
    </w:p>
    <w:p w:rsidR="005A3E35" w:rsidRDefault="005A3E35" w:rsidP="005A3E35">
      <w:pPr>
        <w:pStyle w:val="ListParagraph"/>
        <w:numPr>
          <w:ilvl w:val="0"/>
          <w:numId w:val="27"/>
        </w:numPr>
      </w:pPr>
      <w:r>
        <w:t>T</w:t>
      </w:r>
      <w:r w:rsidRPr="00F40ED4">
        <w:t xml:space="preserve">here should be isolation from the power source (usually, but not </w:t>
      </w:r>
      <w:r>
        <w:t>exclusively, electrical energy).</w:t>
      </w:r>
      <w:r w:rsidRPr="00F40ED4">
        <w:t xml:space="preserve"> </w:t>
      </w:r>
    </w:p>
    <w:p w:rsidR="005A3E35" w:rsidRDefault="005A3E35" w:rsidP="005A3E35">
      <w:pPr>
        <w:pStyle w:val="ListParagraph"/>
        <w:numPr>
          <w:ilvl w:val="0"/>
          <w:numId w:val="27"/>
        </w:numPr>
      </w:pPr>
      <w:r>
        <w:t>T</w:t>
      </w:r>
      <w:r w:rsidRPr="00F40ED4">
        <w:t>he isolator should be locked in position (</w:t>
      </w:r>
      <w:r>
        <w:t>e.g. by a padlock).</w:t>
      </w:r>
    </w:p>
    <w:p w:rsidR="005A3E35" w:rsidRDefault="005A3E35" w:rsidP="005A3E35">
      <w:pPr>
        <w:pStyle w:val="ListParagraph"/>
        <w:numPr>
          <w:ilvl w:val="0"/>
          <w:numId w:val="27"/>
        </w:numPr>
      </w:pPr>
      <w:r>
        <w:t xml:space="preserve">A </w:t>
      </w:r>
      <w:r w:rsidRPr="00F40ED4">
        <w:t xml:space="preserve">sign should be used to indicate that maintenance work is in progress. </w:t>
      </w:r>
    </w:p>
    <w:p w:rsidR="005A3E35" w:rsidRPr="00F40ED4" w:rsidRDefault="005A3E35" w:rsidP="005A3E35">
      <w:r w:rsidRPr="00F40ED4">
        <w:t>Isolation requires use of devices that are specifically designed for this purpose; not devices such as key-lockable emergency stops or other types of switches that may be fitted to the machine. Any stored energy (hydraulic or pneumatic power, for instance) should also be dissipated before the work starts.</w:t>
      </w:r>
      <w:r>
        <w:t xml:space="preserve"> </w:t>
      </w:r>
      <w:r w:rsidRPr="00F40ED4">
        <w:t>If more than one maintenance worker is involved in the work, each of them should lock off the power with their own padlock.</w:t>
      </w:r>
    </w:p>
    <w:p w:rsidR="00A6136C" w:rsidRDefault="008A2290" w:rsidP="00972763">
      <w:pPr>
        <w:sectPr w:rsidR="00A6136C" w:rsidSect="00033393">
          <w:headerReference w:type="default" r:id="rId10"/>
          <w:footerReference w:type="default" r:id="rId11"/>
          <w:pgSz w:w="11906" w:h="16838"/>
          <w:pgMar w:top="1440" w:right="1440" w:bottom="1440" w:left="1440" w:header="708" w:footer="708" w:gutter="0"/>
          <w:cols w:num="2" w:space="708"/>
          <w:docGrid w:linePitch="360"/>
        </w:sectPr>
      </w:pPr>
      <w:r>
        <w:t xml:space="preserve"> </w:t>
      </w:r>
    </w:p>
    <w:p w:rsidR="009B5506" w:rsidRDefault="009B5506" w:rsidP="00A6136C">
      <w:pPr>
        <w:spacing w:before="240"/>
        <w:rPr>
          <w:i/>
          <w:color w:val="7030A0"/>
        </w:rPr>
      </w:pPr>
    </w:p>
    <w:p w:rsidR="00C02BF3" w:rsidRPr="00C02BF3" w:rsidRDefault="00C02BF3" w:rsidP="00C02BF3">
      <w:pPr>
        <w:rPr>
          <w:i/>
          <w:color w:val="7030A0"/>
        </w:rPr>
      </w:pPr>
      <w:r>
        <w:rPr>
          <w:i/>
          <w:color w:val="7030A0"/>
        </w:rPr>
        <w:t>Revised List of Sources</w:t>
      </w:r>
    </w:p>
    <w:tbl>
      <w:tblPr>
        <w:tblStyle w:val="TableGrid"/>
        <w:tblW w:w="5000" w:type="pct"/>
        <w:tblLayout w:type="fixed"/>
        <w:tblLook w:val="04A0" w:firstRow="1" w:lastRow="0" w:firstColumn="1" w:lastColumn="0" w:noHBand="0" w:noVBand="1"/>
      </w:tblPr>
      <w:tblGrid>
        <w:gridCol w:w="817"/>
        <w:gridCol w:w="3558"/>
      </w:tblGrid>
      <w:tr w:rsidR="004662D9" w:rsidRPr="004662D9" w:rsidTr="004662D9">
        <w:tc>
          <w:tcPr>
            <w:tcW w:w="934" w:type="pct"/>
            <w:shd w:val="clear" w:color="auto" w:fill="7030A0"/>
          </w:tcPr>
          <w:p w:rsidR="004662D9" w:rsidRPr="004662D9" w:rsidRDefault="004662D9" w:rsidP="0009652C">
            <w:pPr>
              <w:rPr>
                <w:b/>
                <w:color w:val="FFFFFF" w:themeColor="background1"/>
                <w:sz w:val="20"/>
                <w:szCs w:val="20"/>
              </w:rPr>
            </w:pPr>
            <w:r w:rsidRPr="004662D9">
              <w:rPr>
                <w:b/>
                <w:color w:val="FFFFFF" w:themeColor="background1"/>
                <w:sz w:val="20"/>
                <w:szCs w:val="20"/>
              </w:rPr>
              <w:t>Page</w:t>
            </w:r>
          </w:p>
        </w:tc>
        <w:tc>
          <w:tcPr>
            <w:tcW w:w="4066" w:type="pct"/>
            <w:shd w:val="clear" w:color="auto" w:fill="7030A0"/>
          </w:tcPr>
          <w:p w:rsidR="004662D9" w:rsidRPr="004662D9" w:rsidRDefault="004662D9" w:rsidP="0009652C">
            <w:pPr>
              <w:rPr>
                <w:b/>
                <w:color w:val="FFFFFF" w:themeColor="background1"/>
                <w:sz w:val="20"/>
                <w:szCs w:val="20"/>
              </w:rPr>
            </w:pPr>
            <w:r w:rsidRPr="004662D9">
              <w:rPr>
                <w:b/>
                <w:color w:val="FFFFFF" w:themeColor="background1"/>
                <w:sz w:val="20"/>
                <w:szCs w:val="20"/>
              </w:rPr>
              <w:t>Source</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13,33</w:t>
            </w:r>
          </w:p>
        </w:tc>
        <w:tc>
          <w:tcPr>
            <w:tcW w:w="4066" w:type="pct"/>
          </w:tcPr>
          <w:p w:rsidR="004662D9" w:rsidRPr="004662D9" w:rsidRDefault="00785226" w:rsidP="004662D9">
            <w:pPr>
              <w:rPr>
                <w:sz w:val="20"/>
                <w:szCs w:val="20"/>
              </w:rPr>
            </w:pPr>
            <w:hyperlink r:id="rId12" w:history="1">
              <w:r w:rsidR="004662D9" w:rsidRPr="004662D9">
                <w:rPr>
                  <w:rStyle w:val="Hyperlink"/>
                  <w:sz w:val="20"/>
                  <w:szCs w:val="20"/>
                </w:rPr>
                <w:t>Health and Safety at Work etc. Act 1974</w:t>
              </w:r>
            </w:hyperlink>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13</w:t>
            </w:r>
          </w:p>
        </w:tc>
        <w:tc>
          <w:tcPr>
            <w:tcW w:w="4066" w:type="pct"/>
          </w:tcPr>
          <w:p w:rsidR="004662D9" w:rsidRPr="004662D9" w:rsidRDefault="00785226" w:rsidP="004662D9">
            <w:pPr>
              <w:rPr>
                <w:sz w:val="20"/>
                <w:szCs w:val="20"/>
              </w:rPr>
            </w:pPr>
            <w:hyperlink r:id="rId13" w:history="1">
              <w:r w:rsidR="004662D9" w:rsidRPr="004662D9">
                <w:rPr>
                  <w:rStyle w:val="Hyperlink"/>
                  <w:sz w:val="20"/>
                  <w:szCs w:val="20"/>
                </w:rPr>
                <w:t xml:space="preserve">Health and Safety Executive (2015) Health and Safety at Work Act </w:t>
              </w:r>
              <w:proofErr w:type="spellStart"/>
              <w:r w:rsidR="004662D9" w:rsidRPr="004662D9">
                <w:rPr>
                  <w:rStyle w:val="Hyperlink"/>
                  <w:sz w:val="20"/>
                  <w:szCs w:val="20"/>
                </w:rPr>
                <w:t>etc</w:t>
              </w:r>
              <w:proofErr w:type="spellEnd"/>
              <w:r w:rsidR="004662D9" w:rsidRPr="004662D9">
                <w:rPr>
                  <w:rStyle w:val="Hyperlink"/>
                  <w:sz w:val="20"/>
                  <w:szCs w:val="20"/>
                </w:rPr>
                <w:t xml:space="preserve"> 1974</w:t>
              </w:r>
            </w:hyperlink>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13,14</w:t>
            </w:r>
          </w:p>
        </w:tc>
        <w:tc>
          <w:tcPr>
            <w:tcW w:w="4066" w:type="pct"/>
          </w:tcPr>
          <w:p w:rsidR="004662D9" w:rsidRPr="004662D9" w:rsidRDefault="00785226" w:rsidP="004662D9">
            <w:pPr>
              <w:rPr>
                <w:sz w:val="20"/>
                <w:szCs w:val="20"/>
              </w:rPr>
            </w:pPr>
            <w:hyperlink r:id="rId14" w:history="1">
              <w:r w:rsidR="004662D9" w:rsidRPr="004662D9">
                <w:rPr>
                  <w:rStyle w:val="Hyperlink"/>
                  <w:sz w:val="20"/>
                  <w:szCs w:val="20"/>
                </w:rPr>
                <w:t>Health and Safety Executive (2013) Managing for health and safety</w:t>
              </w:r>
            </w:hyperlink>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14</w:t>
            </w:r>
          </w:p>
        </w:tc>
        <w:tc>
          <w:tcPr>
            <w:tcW w:w="4066" w:type="pct"/>
          </w:tcPr>
          <w:p w:rsidR="004662D9" w:rsidRPr="004662D9" w:rsidRDefault="00785226" w:rsidP="004662D9">
            <w:pPr>
              <w:rPr>
                <w:color w:val="943634" w:themeColor="accent2" w:themeShade="BF"/>
                <w:sz w:val="20"/>
                <w:szCs w:val="20"/>
              </w:rPr>
            </w:pPr>
            <w:hyperlink r:id="rId15" w:history="1">
              <w:r w:rsidR="004662D9" w:rsidRPr="004662D9">
                <w:rPr>
                  <w:rStyle w:val="Hyperlink"/>
                  <w:sz w:val="20"/>
                  <w:szCs w:val="20"/>
                </w:rPr>
                <w:t>Health and Safety Executive (2019) RIDDOR – Report an Incident</w:t>
              </w:r>
            </w:hyperlink>
            <w:r w:rsidR="004662D9" w:rsidRPr="004662D9">
              <w:rPr>
                <w:color w:val="7030A0"/>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15,16</w:t>
            </w:r>
          </w:p>
        </w:tc>
        <w:tc>
          <w:tcPr>
            <w:tcW w:w="4066" w:type="pct"/>
          </w:tcPr>
          <w:p w:rsidR="004662D9" w:rsidRPr="004662D9" w:rsidRDefault="00785226" w:rsidP="004662D9">
            <w:pPr>
              <w:rPr>
                <w:sz w:val="20"/>
                <w:szCs w:val="20"/>
              </w:rPr>
            </w:pPr>
            <w:hyperlink r:id="rId16" w:history="1">
              <w:r w:rsidR="004662D9" w:rsidRPr="004662D9">
                <w:rPr>
                  <w:rStyle w:val="Hyperlink"/>
                  <w:sz w:val="20"/>
                  <w:szCs w:val="20"/>
                </w:rPr>
                <w:t>Health and Safety Executive (2016) COSHH basics</w:t>
              </w:r>
            </w:hyperlink>
            <w:r w:rsidR="004662D9" w:rsidRPr="004662D9">
              <w:rPr>
                <w:color w:val="7030A0"/>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15</w:t>
            </w:r>
          </w:p>
        </w:tc>
        <w:tc>
          <w:tcPr>
            <w:tcW w:w="4066" w:type="pct"/>
          </w:tcPr>
          <w:p w:rsidR="004662D9" w:rsidRPr="004662D9" w:rsidRDefault="00785226" w:rsidP="004662D9">
            <w:pPr>
              <w:rPr>
                <w:sz w:val="20"/>
                <w:szCs w:val="20"/>
              </w:rPr>
            </w:pPr>
            <w:hyperlink r:id="rId17" w:history="1">
              <w:r w:rsidR="004662D9" w:rsidRPr="004662D9">
                <w:rPr>
                  <w:rStyle w:val="Hyperlink"/>
                  <w:sz w:val="20"/>
                  <w:szCs w:val="20"/>
                </w:rPr>
                <w:t>Control of Substances Hazardous to Health Regulations 2002</w:t>
              </w:r>
            </w:hyperlink>
            <w:r w:rsidR="004662D9" w:rsidRPr="004662D9">
              <w:rPr>
                <w:color w:val="7030A0"/>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19</w:t>
            </w:r>
          </w:p>
        </w:tc>
        <w:tc>
          <w:tcPr>
            <w:tcW w:w="4066" w:type="pct"/>
          </w:tcPr>
          <w:p w:rsidR="004662D9" w:rsidRPr="004662D9" w:rsidRDefault="00785226" w:rsidP="004662D9">
            <w:pPr>
              <w:rPr>
                <w:color w:val="0000FF"/>
                <w:sz w:val="20"/>
                <w:szCs w:val="20"/>
                <w:u w:val="single"/>
              </w:rPr>
            </w:pPr>
            <w:hyperlink r:id="rId18" w:anchor="q1" w:history="1">
              <w:r w:rsidR="004662D9" w:rsidRPr="004662D9">
                <w:rPr>
                  <w:rStyle w:val="Hyperlink"/>
                  <w:sz w:val="20"/>
                  <w:szCs w:val="20"/>
                </w:rPr>
                <w:t>Health and Safety Executive (2019) Noise at work: Frequently Asked Questions</w:t>
              </w:r>
            </w:hyperlink>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19</w:t>
            </w:r>
          </w:p>
        </w:tc>
        <w:tc>
          <w:tcPr>
            <w:tcW w:w="4066" w:type="pct"/>
          </w:tcPr>
          <w:p w:rsidR="004662D9" w:rsidRPr="004662D9" w:rsidRDefault="00785226" w:rsidP="004662D9">
            <w:pPr>
              <w:rPr>
                <w:color w:val="943634" w:themeColor="accent2" w:themeShade="BF"/>
                <w:sz w:val="20"/>
                <w:szCs w:val="20"/>
              </w:rPr>
            </w:pPr>
            <w:hyperlink r:id="rId19" w:history="1">
              <w:r w:rsidR="004662D9" w:rsidRPr="004662D9">
                <w:rPr>
                  <w:rStyle w:val="Hyperlink"/>
                  <w:sz w:val="20"/>
                  <w:szCs w:val="20"/>
                </w:rPr>
                <w:t>Health and Safety Executive (2005) Controlling noise at work</w:t>
              </w:r>
            </w:hyperlink>
            <w:r w:rsidR="004662D9" w:rsidRPr="004662D9">
              <w:rPr>
                <w:color w:val="7030A0"/>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19</w:t>
            </w:r>
          </w:p>
        </w:tc>
        <w:tc>
          <w:tcPr>
            <w:tcW w:w="4066" w:type="pct"/>
          </w:tcPr>
          <w:p w:rsidR="004662D9" w:rsidRPr="004662D9" w:rsidRDefault="00785226" w:rsidP="004662D9">
            <w:pPr>
              <w:rPr>
                <w:color w:val="943634" w:themeColor="accent2" w:themeShade="BF"/>
                <w:sz w:val="20"/>
                <w:szCs w:val="20"/>
              </w:rPr>
            </w:pPr>
            <w:hyperlink r:id="rId20" w:history="1">
              <w:r w:rsidR="004662D9" w:rsidRPr="004662D9">
                <w:rPr>
                  <w:rStyle w:val="Hyperlink"/>
                  <w:sz w:val="20"/>
                  <w:szCs w:val="20"/>
                </w:rPr>
                <w:t>Health and Safety Executive (2019) Noise at work: regulations</w:t>
              </w:r>
            </w:hyperlink>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20</w:t>
            </w:r>
          </w:p>
        </w:tc>
        <w:tc>
          <w:tcPr>
            <w:tcW w:w="4066" w:type="pct"/>
          </w:tcPr>
          <w:p w:rsidR="004662D9" w:rsidRPr="004662D9" w:rsidRDefault="00785226" w:rsidP="004662D9">
            <w:pPr>
              <w:rPr>
                <w:sz w:val="20"/>
                <w:szCs w:val="20"/>
              </w:rPr>
            </w:pPr>
            <w:hyperlink r:id="rId21" w:history="1">
              <w:r w:rsidR="004662D9" w:rsidRPr="004662D9">
                <w:rPr>
                  <w:rStyle w:val="Hyperlink"/>
                  <w:sz w:val="20"/>
                  <w:szCs w:val="20"/>
                </w:rPr>
                <w:t>Health and Safety Executive (2019) Controlling vibration risks</w:t>
              </w:r>
            </w:hyperlink>
            <w:r w:rsidR="004662D9" w:rsidRPr="004662D9">
              <w:rPr>
                <w:color w:val="7030A0"/>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21</w:t>
            </w:r>
          </w:p>
        </w:tc>
        <w:tc>
          <w:tcPr>
            <w:tcW w:w="4066" w:type="pct"/>
          </w:tcPr>
          <w:p w:rsidR="004662D9" w:rsidRPr="004662D9" w:rsidRDefault="00785226" w:rsidP="004662D9">
            <w:pPr>
              <w:rPr>
                <w:sz w:val="20"/>
                <w:szCs w:val="20"/>
              </w:rPr>
            </w:pPr>
            <w:hyperlink r:id="rId22" w:history="1">
              <w:r w:rsidR="004662D9" w:rsidRPr="004662D9">
                <w:rPr>
                  <w:rStyle w:val="Hyperlink"/>
                  <w:sz w:val="20"/>
                  <w:szCs w:val="20"/>
                </w:rPr>
                <w:t>Health and Safety Executive (2019) Asbestos essentials</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21</w:t>
            </w:r>
          </w:p>
        </w:tc>
        <w:tc>
          <w:tcPr>
            <w:tcW w:w="4066" w:type="pct"/>
          </w:tcPr>
          <w:p w:rsidR="004662D9" w:rsidRPr="004662D9" w:rsidRDefault="00785226" w:rsidP="004662D9">
            <w:pPr>
              <w:rPr>
                <w:sz w:val="20"/>
                <w:szCs w:val="20"/>
              </w:rPr>
            </w:pPr>
            <w:hyperlink r:id="rId23" w:history="1">
              <w:r w:rsidR="004662D9" w:rsidRPr="004662D9">
                <w:rPr>
                  <w:rStyle w:val="Hyperlink"/>
                  <w:sz w:val="20"/>
                  <w:szCs w:val="20"/>
                </w:rPr>
                <w:t>Health and Safety Executive (2019) Need to dispose chemicals</w:t>
              </w:r>
            </w:hyperlink>
            <w:r w:rsidR="004662D9" w:rsidRPr="004662D9">
              <w:rPr>
                <w:color w:val="7030A0"/>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24</w:t>
            </w:r>
          </w:p>
        </w:tc>
        <w:tc>
          <w:tcPr>
            <w:tcW w:w="4066" w:type="pct"/>
          </w:tcPr>
          <w:p w:rsidR="004662D9" w:rsidRPr="004662D9" w:rsidRDefault="00785226" w:rsidP="004662D9">
            <w:pPr>
              <w:rPr>
                <w:color w:val="943634" w:themeColor="accent2" w:themeShade="BF"/>
                <w:sz w:val="20"/>
                <w:szCs w:val="20"/>
              </w:rPr>
            </w:pPr>
            <w:hyperlink r:id="rId24" w:history="1">
              <w:r w:rsidR="004662D9" w:rsidRPr="004662D9">
                <w:rPr>
                  <w:rStyle w:val="Hyperlink"/>
                  <w:sz w:val="20"/>
                  <w:szCs w:val="20"/>
                </w:rPr>
                <w:t>Health and Safety Executive (2011) Management of risk when planning work</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24</w:t>
            </w:r>
          </w:p>
        </w:tc>
        <w:tc>
          <w:tcPr>
            <w:tcW w:w="4066" w:type="pct"/>
          </w:tcPr>
          <w:p w:rsidR="004662D9" w:rsidRPr="004662D9" w:rsidRDefault="00785226" w:rsidP="004662D9">
            <w:pPr>
              <w:rPr>
                <w:color w:val="943634" w:themeColor="accent2" w:themeShade="BF"/>
                <w:sz w:val="20"/>
                <w:szCs w:val="20"/>
              </w:rPr>
            </w:pPr>
            <w:hyperlink r:id="rId25" w:history="1">
              <w:r w:rsidR="004662D9" w:rsidRPr="004662D9">
                <w:rPr>
                  <w:rStyle w:val="Hyperlink"/>
                  <w:sz w:val="20"/>
                  <w:szCs w:val="20"/>
                </w:rPr>
                <w:t>Health and Safety Executive (2014) Risk Assessment</w:t>
              </w:r>
            </w:hyperlink>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24</w:t>
            </w:r>
          </w:p>
        </w:tc>
        <w:tc>
          <w:tcPr>
            <w:tcW w:w="4066" w:type="pct"/>
          </w:tcPr>
          <w:p w:rsidR="004662D9" w:rsidRPr="004662D9" w:rsidRDefault="00785226" w:rsidP="004662D9">
            <w:pPr>
              <w:rPr>
                <w:color w:val="7030A0"/>
                <w:sz w:val="20"/>
                <w:szCs w:val="20"/>
              </w:rPr>
            </w:pPr>
            <w:hyperlink r:id="rId26" w:history="1">
              <w:r w:rsidR="004662D9" w:rsidRPr="004662D9">
                <w:rPr>
                  <w:rStyle w:val="Hyperlink"/>
                  <w:sz w:val="20"/>
                  <w:szCs w:val="20"/>
                </w:rPr>
                <w:t>Health and Safety Executive (2019) Risk Management: Frequently Asked Questions</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25</w:t>
            </w:r>
          </w:p>
        </w:tc>
        <w:tc>
          <w:tcPr>
            <w:tcW w:w="4066" w:type="pct"/>
          </w:tcPr>
          <w:p w:rsidR="004662D9" w:rsidRPr="004662D9" w:rsidRDefault="00785226" w:rsidP="004662D9">
            <w:pPr>
              <w:rPr>
                <w:sz w:val="20"/>
                <w:szCs w:val="20"/>
              </w:rPr>
            </w:pPr>
            <w:hyperlink r:id="rId27" w:history="1">
              <w:r w:rsidR="004662D9" w:rsidRPr="004662D9">
                <w:rPr>
                  <w:rStyle w:val="Hyperlink"/>
                  <w:sz w:val="20"/>
                  <w:szCs w:val="20"/>
                </w:rPr>
                <w:t>Health and Safety Executive (2013) Leading health and safety at work</w:t>
              </w:r>
            </w:hyperlink>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28</w:t>
            </w:r>
          </w:p>
        </w:tc>
        <w:tc>
          <w:tcPr>
            <w:tcW w:w="4066" w:type="pct"/>
          </w:tcPr>
          <w:p w:rsidR="004662D9" w:rsidRPr="004662D9" w:rsidRDefault="00785226" w:rsidP="004662D9">
            <w:pPr>
              <w:rPr>
                <w:sz w:val="20"/>
                <w:szCs w:val="20"/>
              </w:rPr>
            </w:pPr>
            <w:hyperlink r:id="rId28" w:anchor="hygiene" w:history="1">
              <w:r w:rsidR="004662D9" w:rsidRPr="004662D9">
                <w:rPr>
                  <w:rStyle w:val="Hyperlink"/>
                  <w:sz w:val="20"/>
                  <w:szCs w:val="20"/>
                </w:rPr>
                <w:t>Health and Safety Executive (2019) Occupational Health Issues</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28</w:t>
            </w:r>
          </w:p>
        </w:tc>
        <w:tc>
          <w:tcPr>
            <w:tcW w:w="4066" w:type="pct"/>
          </w:tcPr>
          <w:p w:rsidR="004662D9" w:rsidRPr="004662D9" w:rsidRDefault="00785226" w:rsidP="004662D9">
            <w:pPr>
              <w:rPr>
                <w:sz w:val="20"/>
                <w:szCs w:val="20"/>
              </w:rPr>
            </w:pPr>
            <w:hyperlink r:id="rId29" w:history="1">
              <w:r w:rsidR="004662D9" w:rsidRPr="004662D9">
                <w:rPr>
                  <w:rStyle w:val="Hyperlink"/>
                  <w:sz w:val="20"/>
                  <w:szCs w:val="20"/>
                </w:rPr>
                <w:t>Health and Safety Executive (2019) Leptospirosis</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28</w:t>
            </w:r>
          </w:p>
        </w:tc>
        <w:tc>
          <w:tcPr>
            <w:tcW w:w="4066" w:type="pct"/>
          </w:tcPr>
          <w:p w:rsidR="004662D9" w:rsidRPr="004662D9" w:rsidRDefault="00785226" w:rsidP="004662D9">
            <w:pPr>
              <w:rPr>
                <w:sz w:val="20"/>
                <w:szCs w:val="20"/>
              </w:rPr>
            </w:pPr>
            <w:hyperlink r:id="rId30" w:history="1">
              <w:r w:rsidR="004662D9" w:rsidRPr="004662D9">
                <w:rPr>
                  <w:rStyle w:val="Hyperlink"/>
                  <w:sz w:val="20"/>
                  <w:szCs w:val="20"/>
                </w:rPr>
                <w:t>Health and Safety Executive (2014) Health and Safety made simple</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31</w:t>
            </w:r>
          </w:p>
        </w:tc>
        <w:tc>
          <w:tcPr>
            <w:tcW w:w="4066" w:type="pct"/>
          </w:tcPr>
          <w:p w:rsidR="004662D9" w:rsidRPr="004662D9" w:rsidRDefault="00785226" w:rsidP="004662D9">
            <w:pPr>
              <w:rPr>
                <w:sz w:val="20"/>
                <w:szCs w:val="20"/>
              </w:rPr>
            </w:pPr>
            <w:hyperlink r:id="rId31" w:history="1">
              <w:r w:rsidR="004662D9" w:rsidRPr="004662D9">
                <w:rPr>
                  <w:rStyle w:val="Hyperlink"/>
                  <w:sz w:val="20"/>
                  <w:szCs w:val="20"/>
                </w:rPr>
                <w:t>Health and Safety Executive (2013) Workplace transport safety</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32</w:t>
            </w:r>
          </w:p>
        </w:tc>
        <w:tc>
          <w:tcPr>
            <w:tcW w:w="4066" w:type="pct"/>
          </w:tcPr>
          <w:p w:rsidR="004662D9" w:rsidRPr="004662D9" w:rsidRDefault="00785226" w:rsidP="004662D9">
            <w:pPr>
              <w:rPr>
                <w:sz w:val="20"/>
                <w:szCs w:val="20"/>
              </w:rPr>
            </w:pPr>
            <w:hyperlink r:id="rId32" w:history="1">
              <w:r w:rsidR="004662D9" w:rsidRPr="004662D9">
                <w:rPr>
                  <w:rStyle w:val="Hyperlink"/>
                  <w:sz w:val="20"/>
                  <w:szCs w:val="20"/>
                </w:rPr>
                <w:t>Health and Safety Executive (2019) Reversing</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34</w:t>
            </w:r>
          </w:p>
        </w:tc>
        <w:tc>
          <w:tcPr>
            <w:tcW w:w="4066" w:type="pct"/>
          </w:tcPr>
          <w:p w:rsidR="004662D9" w:rsidRPr="004662D9" w:rsidRDefault="00785226" w:rsidP="004662D9">
            <w:pPr>
              <w:rPr>
                <w:sz w:val="20"/>
                <w:szCs w:val="20"/>
              </w:rPr>
            </w:pPr>
            <w:hyperlink r:id="rId33" w:history="1">
              <w:r w:rsidR="004662D9" w:rsidRPr="004662D9">
                <w:rPr>
                  <w:rStyle w:val="Hyperlink"/>
                  <w:sz w:val="20"/>
                  <w:szCs w:val="20"/>
                </w:rPr>
                <w:t>Health and Safety Executive (2015) Safety signs and signals</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34</w:t>
            </w:r>
          </w:p>
        </w:tc>
        <w:tc>
          <w:tcPr>
            <w:tcW w:w="4066" w:type="pct"/>
          </w:tcPr>
          <w:p w:rsidR="004662D9" w:rsidRPr="004662D9" w:rsidRDefault="004662D9" w:rsidP="0009652C">
            <w:pPr>
              <w:rPr>
                <w:sz w:val="20"/>
                <w:szCs w:val="20"/>
              </w:rPr>
            </w:pPr>
            <w:r w:rsidRPr="004662D9">
              <w:rPr>
                <w:sz w:val="20"/>
                <w:szCs w:val="20"/>
              </w:rPr>
              <w:t>Health and Safety (2011) Managing contractors</w:t>
            </w:r>
          </w:p>
        </w:tc>
      </w:tr>
      <w:tr w:rsidR="004662D9" w:rsidRPr="004662D9" w:rsidTr="004662D9">
        <w:tc>
          <w:tcPr>
            <w:tcW w:w="934" w:type="pct"/>
            <w:tcBorders>
              <w:bottom w:val="single" w:sz="4" w:space="0" w:color="auto"/>
            </w:tcBorders>
          </w:tcPr>
          <w:p w:rsidR="004662D9" w:rsidRPr="004662D9" w:rsidRDefault="004662D9" w:rsidP="0009652C">
            <w:pPr>
              <w:spacing w:after="120"/>
              <w:rPr>
                <w:sz w:val="20"/>
                <w:szCs w:val="20"/>
              </w:rPr>
            </w:pPr>
            <w:r w:rsidRPr="004662D9">
              <w:rPr>
                <w:sz w:val="20"/>
                <w:szCs w:val="20"/>
              </w:rPr>
              <w:t>37</w:t>
            </w:r>
          </w:p>
        </w:tc>
        <w:tc>
          <w:tcPr>
            <w:tcW w:w="4066" w:type="pct"/>
            <w:tcBorders>
              <w:bottom w:val="single" w:sz="4" w:space="0" w:color="auto"/>
            </w:tcBorders>
          </w:tcPr>
          <w:p w:rsidR="004662D9" w:rsidRPr="004662D9" w:rsidRDefault="00785226" w:rsidP="004662D9">
            <w:pPr>
              <w:rPr>
                <w:sz w:val="20"/>
                <w:szCs w:val="20"/>
              </w:rPr>
            </w:pPr>
            <w:hyperlink r:id="rId34" w:history="1">
              <w:r w:rsidR="004662D9" w:rsidRPr="004662D9">
                <w:rPr>
                  <w:rStyle w:val="Hyperlink"/>
                  <w:sz w:val="20"/>
                  <w:szCs w:val="20"/>
                </w:rPr>
                <w:t>Health and Safety Executive (2019) Permits to work</w:t>
              </w:r>
            </w:hyperlink>
            <w:r w:rsidR="004662D9" w:rsidRPr="004662D9">
              <w:rPr>
                <w:sz w:val="20"/>
                <w:szCs w:val="20"/>
              </w:rPr>
              <w:t xml:space="preserve"> </w:t>
            </w:r>
          </w:p>
        </w:tc>
      </w:tr>
      <w:tr w:rsidR="004662D9" w:rsidRPr="004662D9" w:rsidTr="004662D9">
        <w:tc>
          <w:tcPr>
            <w:tcW w:w="934" w:type="pct"/>
            <w:tcBorders>
              <w:bottom w:val="single" w:sz="4" w:space="0" w:color="auto"/>
            </w:tcBorders>
          </w:tcPr>
          <w:p w:rsidR="004662D9" w:rsidRPr="004662D9" w:rsidRDefault="004662D9" w:rsidP="0009652C">
            <w:pPr>
              <w:spacing w:after="120"/>
              <w:rPr>
                <w:sz w:val="20"/>
                <w:szCs w:val="20"/>
              </w:rPr>
            </w:pPr>
            <w:r w:rsidRPr="004662D9">
              <w:rPr>
                <w:sz w:val="20"/>
                <w:szCs w:val="20"/>
              </w:rPr>
              <w:t>37</w:t>
            </w:r>
          </w:p>
        </w:tc>
        <w:tc>
          <w:tcPr>
            <w:tcW w:w="4066" w:type="pct"/>
            <w:tcBorders>
              <w:bottom w:val="single" w:sz="4" w:space="0" w:color="auto"/>
            </w:tcBorders>
          </w:tcPr>
          <w:p w:rsidR="004662D9" w:rsidRPr="004662D9" w:rsidRDefault="00785226" w:rsidP="004662D9">
            <w:pPr>
              <w:rPr>
                <w:color w:val="0000FF"/>
                <w:sz w:val="20"/>
                <w:szCs w:val="20"/>
                <w:u w:val="single"/>
              </w:rPr>
            </w:pPr>
            <w:hyperlink r:id="rId35" w:history="1">
              <w:r w:rsidR="004662D9" w:rsidRPr="004662D9">
                <w:rPr>
                  <w:rStyle w:val="Hyperlink"/>
                  <w:sz w:val="20"/>
                  <w:szCs w:val="20"/>
                </w:rPr>
                <w:t>Health and Safety Executive (2019) How to control risks at work</w:t>
              </w:r>
            </w:hyperlink>
            <w:r w:rsidR="004662D9" w:rsidRPr="004662D9">
              <w:rPr>
                <w:sz w:val="20"/>
                <w:szCs w:val="20"/>
              </w:rPr>
              <w:t xml:space="preserve"> </w:t>
            </w:r>
          </w:p>
        </w:tc>
      </w:tr>
      <w:tr w:rsidR="004662D9" w:rsidRPr="004662D9" w:rsidTr="004662D9">
        <w:tc>
          <w:tcPr>
            <w:tcW w:w="934" w:type="pct"/>
            <w:tcBorders>
              <w:top w:val="single" w:sz="4" w:space="0" w:color="auto"/>
              <w:left w:val="nil"/>
              <w:bottom w:val="nil"/>
              <w:right w:val="nil"/>
            </w:tcBorders>
          </w:tcPr>
          <w:p w:rsidR="004662D9" w:rsidRPr="004662D9" w:rsidRDefault="004662D9" w:rsidP="0009652C">
            <w:pPr>
              <w:spacing w:after="120"/>
              <w:rPr>
                <w:sz w:val="20"/>
                <w:szCs w:val="20"/>
              </w:rPr>
            </w:pPr>
          </w:p>
        </w:tc>
        <w:tc>
          <w:tcPr>
            <w:tcW w:w="4066" w:type="pct"/>
            <w:tcBorders>
              <w:top w:val="single" w:sz="4" w:space="0" w:color="auto"/>
              <w:left w:val="nil"/>
              <w:bottom w:val="nil"/>
              <w:right w:val="nil"/>
            </w:tcBorders>
          </w:tcPr>
          <w:p w:rsidR="004662D9" w:rsidRDefault="004662D9" w:rsidP="004662D9">
            <w:pPr>
              <w:rPr>
                <w:sz w:val="20"/>
                <w:szCs w:val="20"/>
              </w:rPr>
            </w:pPr>
          </w:p>
        </w:tc>
      </w:tr>
      <w:tr w:rsidR="004662D9" w:rsidRPr="004662D9" w:rsidTr="004662D9">
        <w:tc>
          <w:tcPr>
            <w:tcW w:w="934" w:type="pct"/>
            <w:tcBorders>
              <w:top w:val="nil"/>
              <w:left w:val="nil"/>
              <w:bottom w:val="nil"/>
              <w:right w:val="nil"/>
            </w:tcBorders>
          </w:tcPr>
          <w:p w:rsidR="004662D9" w:rsidRPr="004662D9" w:rsidRDefault="004662D9" w:rsidP="0009652C">
            <w:pPr>
              <w:spacing w:after="120"/>
              <w:rPr>
                <w:sz w:val="20"/>
                <w:szCs w:val="20"/>
              </w:rPr>
            </w:pPr>
          </w:p>
        </w:tc>
        <w:tc>
          <w:tcPr>
            <w:tcW w:w="4066" w:type="pct"/>
            <w:tcBorders>
              <w:top w:val="nil"/>
              <w:left w:val="nil"/>
              <w:bottom w:val="nil"/>
              <w:right w:val="nil"/>
            </w:tcBorders>
          </w:tcPr>
          <w:p w:rsidR="004662D9" w:rsidRDefault="004662D9" w:rsidP="004662D9">
            <w:pPr>
              <w:rPr>
                <w:sz w:val="20"/>
                <w:szCs w:val="20"/>
              </w:rPr>
            </w:pPr>
          </w:p>
        </w:tc>
      </w:tr>
      <w:tr w:rsidR="004662D9" w:rsidRPr="004662D9" w:rsidTr="004662D9">
        <w:tc>
          <w:tcPr>
            <w:tcW w:w="934" w:type="pct"/>
            <w:tcBorders>
              <w:top w:val="nil"/>
              <w:left w:val="nil"/>
              <w:bottom w:val="single" w:sz="4" w:space="0" w:color="auto"/>
              <w:right w:val="nil"/>
            </w:tcBorders>
          </w:tcPr>
          <w:p w:rsidR="004662D9" w:rsidRPr="004662D9" w:rsidRDefault="004662D9" w:rsidP="0009652C">
            <w:pPr>
              <w:spacing w:after="120"/>
              <w:rPr>
                <w:sz w:val="20"/>
                <w:szCs w:val="20"/>
              </w:rPr>
            </w:pPr>
          </w:p>
        </w:tc>
        <w:tc>
          <w:tcPr>
            <w:tcW w:w="4066" w:type="pct"/>
            <w:tcBorders>
              <w:top w:val="nil"/>
              <w:left w:val="nil"/>
              <w:bottom w:val="single" w:sz="4" w:space="0" w:color="auto"/>
              <w:right w:val="nil"/>
            </w:tcBorders>
          </w:tcPr>
          <w:p w:rsidR="004662D9" w:rsidRDefault="004662D9" w:rsidP="004662D9">
            <w:pPr>
              <w:rPr>
                <w:sz w:val="20"/>
                <w:szCs w:val="20"/>
              </w:rPr>
            </w:pPr>
          </w:p>
        </w:tc>
      </w:tr>
      <w:tr w:rsidR="004662D9" w:rsidRPr="004662D9" w:rsidTr="004662D9">
        <w:tc>
          <w:tcPr>
            <w:tcW w:w="934" w:type="pct"/>
            <w:tcBorders>
              <w:top w:val="single" w:sz="4" w:space="0" w:color="auto"/>
            </w:tcBorders>
          </w:tcPr>
          <w:p w:rsidR="004662D9" w:rsidRPr="004662D9" w:rsidRDefault="004662D9" w:rsidP="0009652C">
            <w:pPr>
              <w:spacing w:after="120"/>
              <w:rPr>
                <w:sz w:val="20"/>
                <w:szCs w:val="20"/>
              </w:rPr>
            </w:pPr>
            <w:r w:rsidRPr="004662D9">
              <w:rPr>
                <w:sz w:val="20"/>
                <w:szCs w:val="20"/>
              </w:rPr>
              <w:t>37</w:t>
            </w:r>
          </w:p>
        </w:tc>
        <w:tc>
          <w:tcPr>
            <w:tcW w:w="4066" w:type="pct"/>
            <w:tcBorders>
              <w:top w:val="single" w:sz="4" w:space="0" w:color="auto"/>
            </w:tcBorders>
          </w:tcPr>
          <w:p w:rsidR="004662D9" w:rsidRPr="004662D9" w:rsidRDefault="00785226" w:rsidP="004662D9">
            <w:pPr>
              <w:rPr>
                <w:sz w:val="20"/>
                <w:szCs w:val="20"/>
              </w:rPr>
            </w:pPr>
            <w:hyperlink r:id="rId36" w:history="1">
              <w:r w:rsidR="004662D9" w:rsidRPr="004662D9">
                <w:rPr>
                  <w:rStyle w:val="Hyperlink"/>
                  <w:sz w:val="20"/>
                  <w:szCs w:val="20"/>
                </w:rPr>
                <w:t>Health and Safety Executive (2019) Working at height</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38</w:t>
            </w:r>
          </w:p>
        </w:tc>
        <w:tc>
          <w:tcPr>
            <w:tcW w:w="4066" w:type="pct"/>
          </w:tcPr>
          <w:p w:rsidR="004662D9" w:rsidRPr="004662D9" w:rsidRDefault="00785226" w:rsidP="004662D9">
            <w:pPr>
              <w:rPr>
                <w:sz w:val="20"/>
                <w:szCs w:val="20"/>
              </w:rPr>
            </w:pPr>
            <w:hyperlink r:id="rId37" w:history="1">
              <w:r w:rsidR="004662D9" w:rsidRPr="004662D9">
                <w:rPr>
                  <w:rStyle w:val="Hyperlink"/>
                  <w:sz w:val="20"/>
                  <w:szCs w:val="20"/>
                </w:rPr>
                <w:t>Health and Safety Executive (2013) Dangerous substances and explosive atmospheres</w:t>
              </w:r>
            </w:hyperlink>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38</w:t>
            </w:r>
          </w:p>
        </w:tc>
        <w:tc>
          <w:tcPr>
            <w:tcW w:w="4066" w:type="pct"/>
          </w:tcPr>
          <w:p w:rsidR="004662D9" w:rsidRPr="004662D9" w:rsidRDefault="00785226" w:rsidP="004662D9">
            <w:pPr>
              <w:rPr>
                <w:sz w:val="20"/>
                <w:szCs w:val="20"/>
              </w:rPr>
            </w:pPr>
            <w:hyperlink r:id="rId38" w:history="1">
              <w:r w:rsidR="004662D9" w:rsidRPr="004662D9">
                <w:rPr>
                  <w:rStyle w:val="Hyperlink"/>
                  <w:sz w:val="20"/>
                  <w:szCs w:val="20"/>
                </w:rPr>
                <w:t>Health and Safety Executive (2013) Confined spaces</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38</w:t>
            </w:r>
          </w:p>
        </w:tc>
        <w:tc>
          <w:tcPr>
            <w:tcW w:w="4066" w:type="pct"/>
          </w:tcPr>
          <w:p w:rsidR="004662D9" w:rsidRPr="004662D9" w:rsidRDefault="00785226" w:rsidP="004662D9">
            <w:pPr>
              <w:rPr>
                <w:sz w:val="20"/>
                <w:szCs w:val="20"/>
              </w:rPr>
            </w:pPr>
            <w:hyperlink r:id="rId39" w:history="1">
              <w:r w:rsidR="004662D9" w:rsidRPr="004662D9">
                <w:rPr>
                  <w:rStyle w:val="Hyperlink"/>
                  <w:sz w:val="20"/>
                  <w:szCs w:val="20"/>
                </w:rPr>
                <w:t>Health and Safety Executive (2014) Safe work in confined spaces</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41,42</w:t>
            </w:r>
          </w:p>
        </w:tc>
        <w:tc>
          <w:tcPr>
            <w:tcW w:w="4066" w:type="pct"/>
          </w:tcPr>
          <w:p w:rsidR="004662D9" w:rsidRPr="004662D9" w:rsidRDefault="00785226" w:rsidP="004662D9">
            <w:pPr>
              <w:rPr>
                <w:color w:val="0000FF"/>
                <w:sz w:val="20"/>
                <w:szCs w:val="20"/>
                <w:u w:val="single"/>
              </w:rPr>
            </w:pPr>
            <w:hyperlink r:id="rId40" w:history="1">
              <w:r w:rsidR="004662D9" w:rsidRPr="004662D9">
                <w:rPr>
                  <w:rStyle w:val="Hyperlink"/>
                  <w:sz w:val="20"/>
                  <w:szCs w:val="20"/>
                </w:rPr>
                <w:t>Health and Safety Executive (2013) Lifting equipment at work</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41</w:t>
            </w:r>
          </w:p>
        </w:tc>
        <w:tc>
          <w:tcPr>
            <w:tcW w:w="4066" w:type="pct"/>
          </w:tcPr>
          <w:p w:rsidR="004662D9" w:rsidRPr="004662D9" w:rsidRDefault="00785226" w:rsidP="004662D9">
            <w:pPr>
              <w:rPr>
                <w:sz w:val="20"/>
                <w:szCs w:val="20"/>
              </w:rPr>
            </w:pPr>
            <w:hyperlink r:id="rId41" w:history="1">
              <w:r w:rsidR="004662D9" w:rsidRPr="004662D9">
                <w:rPr>
                  <w:rStyle w:val="Hyperlink"/>
                  <w:sz w:val="20"/>
                  <w:szCs w:val="20"/>
                </w:rPr>
                <w:t>Health and Safety Executive (2013) Providing and using work equipment safely</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41</w:t>
            </w:r>
          </w:p>
        </w:tc>
        <w:tc>
          <w:tcPr>
            <w:tcW w:w="4066" w:type="pct"/>
          </w:tcPr>
          <w:p w:rsidR="004662D9" w:rsidRPr="004662D9" w:rsidRDefault="00785226" w:rsidP="004662D9">
            <w:pPr>
              <w:rPr>
                <w:sz w:val="20"/>
                <w:szCs w:val="20"/>
              </w:rPr>
            </w:pPr>
            <w:hyperlink r:id="rId42" w:history="1">
              <w:r w:rsidR="004662D9" w:rsidRPr="004662D9">
                <w:rPr>
                  <w:rStyle w:val="Hyperlink"/>
                  <w:sz w:val="20"/>
                  <w:szCs w:val="20"/>
                </w:rPr>
                <w:t>Health and Safety Executive (2014) Safe use of work equipment</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41</w:t>
            </w:r>
          </w:p>
        </w:tc>
        <w:tc>
          <w:tcPr>
            <w:tcW w:w="4066" w:type="pct"/>
          </w:tcPr>
          <w:p w:rsidR="004662D9" w:rsidRPr="004662D9" w:rsidRDefault="00785226" w:rsidP="004662D9">
            <w:pPr>
              <w:rPr>
                <w:sz w:val="20"/>
                <w:szCs w:val="20"/>
              </w:rPr>
            </w:pPr>
            <w:hyperlink r:id="rId43" w:history="1">
              <w:r w:rsidR="004662D9" w:rsidRPr="004662D9">
                <w:rPr>
                  <w:rStyle w:val="Hyperlink"/>
                  <w:sz w:val="20"/>
                  <w:szCs w:val="20"/>
                </w:rPr>
                <w:t>Health and Safety Executive (2019) LOLER</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42</w:t>
            </w:r>
          </w:p>
        </w:tc>
        <w:tc>
          <w:tcPr>
            <w:tcW w:w="4066" w:type="pct"/>
          </w:tcPr>
          <w:p w:rsidR="004662D9" w:rsidRPr="004662D9" w:rsidRDefault="00785226" w:rsidP="004662D9">
            <w:pPr>
              <w:rPr>
                <w:sz w:val="20"/>
                <w:szCs w:val="20"/>
              </w:rPr>
            </w:pPr>
            <w:hyperlink r:id="rId44" w:history="1">
              <w:r w:rsidR="004662D9" w:rsidRPr="004662D9">
                <w:rPr>
                  <w:rStyle w:val="Hyperlink"/>
                  <w:sz w:val="20"/>
                  <w:szCs w:val="20"/>
                </w:rPr>
                <w:t>Health and Safety (2019) Maintenance of Work Equipment</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42</w:t>
            </w:r>
          </w:p>
        </w:tc>
        <w:tc>
          <w:tcPr>
            <w:tcW w:w="4066" w:type="pct"/>
          </w:tcPr>
          <w:p w:rsidR="004662D9" w:rsidRPr="004662D9" w:rsidRDefault="00785226" w:rsidP="004662D9">
            <w:pPr>
              <w:rPr>
                <w:sz w:val="20"/>
                <w:szCs w:val="20"/>
              </w:rPr>
            </w:pPr>
            <w:hyperlink r:id="rId45" w:history="1">
              <w:r w:rsidR="004662D9" w:rsidRPr="004662D9">
                <w:rPr>
                  <w:rStyle w:val="Hyperlink"/>
                  <w:sz w:val="20"/>
                  <w:szCs w:val="20"/>
                </w:rPr>
                <w:t>Health and Safety Executive (2019) Maintenance: vehicles and machinery</w:t>
              </w:r>
            </w:hyperlink>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45</w:t>
            </w:r>
          </w:p>
        </w:tc>
        <w:tc>
          <w:tcPr>
            <w:tcW w:w="4066" w:type="pct"/>
          </w:tcPr>
          <w:p w:rsidR="004662D9" w:rsidRPr="004662D9" w:rsidRDefault="00785226" w:rsidP="004662D9">
            <w:pPr>
              <w:rPr>
                <w:sz w:val="20"/>
                <w:szCs w:val="20"/>
              </w:rPr>
            </w:pPr>
            <w:hyperlink r:id="rId46" w:history="1">
              <w:r w:rsidR="004662D9" w:rsidRPr="004662D9">
                <w:rPr>
                  <w:rStyle w:val="Hyperlink"/>
                  <w:sz w:val="20"/>
                  <w:szCs w:val="20"/>
                </w:rPr>
                <w:t>Health and Safety Executive (2019) Isolation and permits to work</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48,49</w:t>
            </w:r>
          </w:p>
        </w:tc>
        <w:tc>
          <w:tcPr>
            <w:tcW w:w="4066" w:type="pct"/>
          </w:tcPr>
          <w:p w:rsidR="004662D9" w:rsidRPr="004662D9" w:rsidRDefault="00785226" w:rsidP="004662D9">
            <w:pPr>
              <w:rPr>
                <w:sz w:val="20"/>
                <w:szCs w:val="20"/>
              </w:rPr>
            </w:pPr>
            <w:hyperlink r:id="rId47" w:history="1">
              <w:r w:rsidR="004662D9" w:rsidRPr="004662D9">
                <w:rPr>
                  <w:rStyle w:val="Hyperlink"/>
                  <w:sz w:val="20"/>
                  <w:szCs w:val="20"/>
                </w:rPr>
                <w:t>Health and Safety Executive (2012) Manual handling at work</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48</w:t>
            </w:r>
          </w:p>
        </w:tc>
        <w:tc>
          <w:tcPr>
            <w:tcW w:w="4066" w:type="pct"/>
          </w:tcPr>
          <w:p w:rsidR="004662D9" w:rsidRPr="004662D9" w:rsidRDefault="00785226" w:rsidP="004662D9">
            <w:pPr>
              <w:rPr>
                <w:color w:val="0000FF"/>
                <w:sz w:val="20"/>
                <w:szCs w:val="20"/>
                <w:u w:val="single"/>
              </w:rPr>
            </w:pPr>
            <w:hyperlink r:id="rId48" w:history="1">
              <w:r w:rsidR="004662D9" w:rsidRPr="004662D9">
                <w:rPr>
                  <w:rStyle w:val="Hyperlink"/>
                  <w:sz w:val="20"/>
                  <w:szCs w:val="20"/>
                </w:rPr>
                <w:t>Health and Safety Executive (2019) Manual Handling</w:t>
              </w:r>
            </w:hyperlink>
            <w:r w:rsidR="004662D9" w:rsidRPr="004662D9">
              <w:rPr>
                <w:sz w:val="20"/>
                <w:szCs w:val="20"/>
              </w:rPr>
              <w:t xml:space="preserve"> </w:t>
            </w:r>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48,49</w:t>
            </w:r>
          </w:p>
        </w:tc>
        <w:tc>
          <w:tcPr>
            <w:tcW w:w="4066" w:type="pct"/>
          </w:tcPr>
          <w:p w:rsidR="004662D9" w:rsidRPr="004662D9" w:rsidRDefault="00785226" w:rsidP="004662D9">
            <w:pPr>
              <w:rPr>
                <w:sz w:val="20"/>
                <w:szCs w:val="20"/>
              </w:rPr>
            </w:pPr>
            <w:hyperlink r:id="rId49" w:history="1">
              <w:r w:rsidR="004662D9" w:rsidRPr="004662D9">
                <w:rPr>
                  <w:rStyle w:val="Hyperlink"/>
                  <w:sz w:val="20"/>
                  <w:szCs w:val="20"/>
                </w:rPr>
                <w:t>Health and Safety Executive (2019) FAQs – Manual handling and labelling loads</w:t>
              </w:r>
            </w:hyperlink>
          </w:p>
        </w:tc>
      </w:tr>
      <w:tr w:rsidR="004662D9" w:rsidRPr="004662D9" w:rsidTr="004662D9">
        <w:tc>
          <w:tcPr>
            <w:tcW w:w="934" w:type="pct"/>
          </w:tcPr>
          <w:p w:rsidR="004662D9" w:rsidRPr="004662D9" w:rsidRDefault="004662D9" w:rsidP="0009652C">
            <w:pPr>
              <w:spacing w:after="120"/>
              <w:rPr>
                <w:sz w:val="20"/>
                <w:szCs w:val="20"/>
              </w:rPr>
            </w:pPr>
            <w:r w:rsidRPr="004662D9">
              <w:rPr>
                <w:sz w:val="20"/>
                <w:szCs w:val="20"/>
              </w:rPr>
              <w:t>49</w:t>
            </w:r>
          </w:p>
        </w:tc>
        <w:tc>
          <w:tcPr>
            <w:tcW w:w="4066" w:type="pct"/>
          </w:tcPr>
          <w:p w:rsidR="004662D9" w:rsidRPr="004662D9" w:rsidRDefault="00785226" w:rsidP="004662D9">
            <w:pPr>
              <w:rPr>
                <w:sz w:val="20"/>
                <w:szCs w:val="20"/>
              </w:rPr>
            </w:pPr>
            <w:hyperlink r:id="rId50" w:history="1">
              <w:r w:rsidR="004662D9" w:rsidRPr="004662D9">
                <w:rPr>
                  <w:rStyle w:val="Hyperlink"/>
                  <w:sz w:val="20"/>
                  <w:szCs w:val="20"/>
                </w:rPr>
                <w:t>Health and Safety Executive (2019) Team handling</w:t>
              </w:r>
            </w:hyperlink>
            <w:r w:rsidR="004662D9" w:rsidRPr="004662D9">
              <w:rPr>
                <w:sz w:val="20"/>
                <w:szCs w:val="20"/>
              </w:rPr>
              <w:t xml:space="preserve"> </w:t>
            </w:r>
          </w:p>
        </w:tc>
      </w:tr>
    </w:tbl>
    <w:p w:rsidR="00A674E5" w:rsidRDefault="004662D9" w:rsidP="00C02BF3">
      <w:pPr>
        <w:spacing w:before="240"/>
        <w:rPr>
          <w:i/>
        </w:rPr>
      </w:pPr>
      <w:r>
        <w:rPr>
          <w:noProof/>
          <w:lang w:eastAsia="en-GB"/>
        </w:rPr>
        <w:drawing>
          <wp:anchor distT="0" distB="0" distL="114300" distR="114300" simplePos="0" relativeHeight="251661312" behindDoc="0" locked="0" layoutInCell="1" allowOverlap="1" wp14:anchorId="404F422F" wp14:editId="3BAAE369">
            <wp:simplePos x="0" y="0"/>
            <wp:positionH relativeFrom="column">
              <wp:posOffset>-67015</wp:posOffset>
            </wp:positionH>
            <wp:positionV relativeFrom="paragraph">
              <wp:posOffset>1009015</wp:posOffset>
            </wp:positionV>
            <wp:extent cx="2806700" cy="200787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Book Concept_Small.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806700" cy="2007870"/>
                    </a:xfrm>
                    <a:prstGeom prst="rect">
                      <a:avLst/>
                    </a:prstGeom>
                  </pic:spPr>
                </pic:pic>
              </a:graphicData>
            </a:graphic>
            <wp14:sizeRelH relativeFrom="page">
              <wp14:pctWidth>0</wp14:pctWidth>
            </wp14:sizeRelH>
            <wp14:sizeRelV relativeFrom="page">
              <wp14:pctHeight>0</wp14:pctHeight>
            </wp14:sizeRelV>
          </wp:anchor>
        </w:drawing>
      </w:r>
      <w:r w:rsidR="00C02BF3" w:rsidRPr="00C02BF3">
        <w:rPr>
          <w:b/>
          <w:i/>
        </w:rPr>
        <w:t>Please note:</w:t>
      </w:r>
      <w:r w:rsidR="00C02BF3" w:rsidRPr="00C02BF3">
        <w:rPr>
          <w:i/>
        </w:rPr>
        <w:t xml:space="preserve"> this information was correct at the time of publishing. If you find these links are broken, type the document title into a search engine</w:t>
      </w:r>
      <w:r w:rsidR="00C02BF3">
        <w:rPr>
          <w:i/>
        </w:rPr>
        <w:t>.</w:t>
      </w:r>
    </w:p>
    <w:p w:rsidR="00A6136C" w:rsidRDefault="00A6136C" w:rsidP="00C02BF3">
      <w:pPr>
        <w:spacing w:before="240"/>
        <w:rPr>
          <w:i/>
        </w:rPr>
      </w:pPr>
    </w:p>
    <w:p w:rsidR="00972763" w:rsidRDefault="00972763" w:rsidP="00C02BF3">
      <w:pPr>
        <w:spacing w:before="240"/>
        <w:rPr>
          <w:i/>
        </w:rPr>
      </w:pPr>
    </w:p>
    <w:p w:rsidR="00972763" w:rsidRDefault="00972763" w:rsidP="00C02BF3">
      <w:pPr>
        <w:spacing w:before="240"/>
        <w:rPr>
          <w:i/>
        </w:rPr>
      </w:pPr>
    </w:p>
    <w:p w:rsidR="00972763" w:rsidRDefault="00972763" w:rsidP="00C02BF3">
      <w:pPr>
        <w:spacing w:before="240"/>
        <w:rPr>
          <w:i/>
        </w:rPr>
      </w:pPr>
    </w:p>
    <w:p w:rsidR="00972763" w:rsidRDefault="00972763" w:rsidP="00C02BF3">
      <w:pPr>
        <w:spacing w:before="240"/>
        <w:rPr>
          <w:i/>
        </w:rPr>
      </w:pPr>
    </w:p>
    <w:p w:rsidR="00972763" w:rsidRDefault="00972763" w:rsidP="00C02BF3">
      <w:pPr>
        <w:spacing w:before="240"/>
        <w:rPr>
          <w:i/>
        </w:rPr>
      </w:pPr>
    </w:p>
    <w:p w:rsidR="00A6136C" w:rsidRDefault="00A6136C" w:rsidP="00A6136C">
      <w:pPr>
        <w:spacing w:before="240" w:after="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r w:rsidR="00A352DD" w:rsidRPr="00A352DD">
        <w:rPr>
          <w:noProof/>
          <w:lang w:eastAsia="en-GB"/>
        </w:rPr>
        <w:t xml:space="preserve"> </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52"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30" w:rsidRDefault="00542730" w:rsidP="00033393">
      <w:pPr>
        <w:spacing w:after="0" w:line="240" w:lineRule="auto"/>
      </w:pPr>
      <w:r>
        <w:separator/>
      </w:r>
    </w:p>
  </w:endnote>
  <w:endnote w:type="continuationSeparator" w:id="0">
    <w:p w:rsidR="00542730" w:rsidRDefault="00542730"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542730" w:rsidRDefault="00542730" w:rsidP="00FB3587">
            <w:pPr>
              <w:spacing w:after="0"/>
            </w:pPr>
            <w:r>
              <w:rPr>
                <w:noProof/>
                <w:lang w:eastAsia="en-GB"/>
              </w:rPr>
              <mc:AlternateContent>
                <mc:Choice Requires="wps">
                  <w:drawing>
                    <wp:anchor distT="0" distB="0" distL="114300" distR="114300" simplePos="0" relativeHeight="251661312" behindDoc="0" locked="0" layoutInCell="1" allowOverlap="1" wp14:anchorId="12AECA16" wp14:editId="568B7C5E">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785226">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785226">
                          <w:rPr>
                            <w:b/>
                            <w:noProof/>
                          </w:rPr>
                          <w:t>4</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30" w:rsidRDefault="00542730" w:rsidP="00033393">
      <w:pPr>
        <w:spacing w:after="0" w:line="240" w:lineRule="auto"/>
      </w:pPr>
      <w:r>
        <w:separator/>
      </w:r>
    </w:p>
  </w:footnote>
  <w:footnote w:type="continuationSeparator" w:id="0">
    <w:p w:rsidR="00542730" w:rsidRDefault="00542730"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30" w:rsidRPr="00033393" w:rsidRDefault="00542730">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55D7D172" wp14:editId="538AE638">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96"/>
    <w:multiLevelType w:val="hybridMultilevel"/>
    <w:tmpl w:val="8738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D36D82"/>
    <w:multiLevelType w:val="hybridMultilevel"/>
    <w:tmpl w:val="A2E0F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B2A70"/>
    <w:multiLevelType w:val="hybridMultilevel"/>
    <w:tmpl w:val="6CF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154F83"/>
    <w:multiLevelType w:val="hybridMultilevel"/>
    <w:tmpl w:val="4330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B707DC"/>
    <w:multiLevelType w:val="hybridMultilevel"/>
    <w:tmpl w:val="7744D4F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A676F2"/>
    <w:multiLevelType w:val="hybridMultilevel"/>
    <w:tmpl w:val="E5B6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AC350C"/>
    <w:multiLevelType w:val="hybridMultilevel"/>
    <w:tmpl w:val="7964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097F9F"/>
    <w:multiLevelType w:val="hybridMultilevel"/>
    <w:tmpl w:val="A24CCA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364193"/>
    <w:multiLevelType w:val="hybridMultilevel"/>
    <w:tmpl w:val="EDA67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1E5B49"/>
    <w:multiLevelType w:val="hybridMultilevel"/>
    <w:tmpl w:val="95403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AD68F5"/>
    <w:multiLevelType w:val="hybridMultilevel"/>
    <w:tmpl w:val="9EBC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4C23CB"/>
    <w:multiLevelType w:val="hybridMultilevel"/>
    <w:tmpl w:val="7F4280D8"/>
    <w:lvl w:ilvl="0" w:tplc="1A3CDE3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8B17B5"/>
    <w:multiLevelType w:val="hybridMultilevel"/>
    <w:tmpl w:val="72B06D2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2F11BB"/>
    <w:multiLevelType w:val="hybridMultilevel"/>
    <w:tmpl w:val="CD9E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2156FA"/>
    <w:multiLevelType w:val="hybridMultilevel"/>
    <w:tmpl w:val="0AA82992"/>
    <w:lvl w:ilvl="0" w:tplc="08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63776D"/>
    <w:multiLevelType w:val="hybridMultilevel"/>
    <w:tmpl w:val="D32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596AD8"/>
    <w:multiLevelType w:val="hybridMultilevel"/>
    <w:tmpl w:val="6AB6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AD5BC0"/>
    <w:multiLevelType w:val="hybridMultilevel"/>
    <w:tmpl w:val="54862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915BF9"/>
    <w:multiLevelType w:val="hybridMultilevel"/>
    <w:tmpl w:val="3C5620A6"/>
    <w:lvl w:ilvl="0" w:tplc="08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B14925"/>
    <w:multiLevelType w:val="hybridMultilevel"/>
    <w:tmpl w:val="9C029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0734CE4"/>
    <w:multiLevelType w:val="hybridMultilevel"/>
    <w:tmpl w:val="04CA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28B0B26"/>
    <w:multiLevelType w:val="hybridMultilevel"/>
    <w:tmpl w:val="DE8AF9F8"/>
    <w:lvl w:ilvl="0" w:tplc="F1F8400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D7537EE"/>
    <w:multiLevelType w:val="hybridMultilevel"/>
    <w:tmpl w:val="CBD4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25"/>
  </w:num>
  <w:num w:numId="4">
    <w:abstractNumId w:val="16"/>
  </w:num>
  <w:num w:numId="5">
    <w:abstractNumId w:val="2"/>
  </w:num>
  <w:num w:numId="6">
    <w:abstractNumId w:val="14"/>
  </w:num>
  <w:num w:numId="7">
    <w:abstractNumId w:val="23"/>
  </w:num>
  <w:num w:numId="8">
    <w:abstractNumId w:val="9"/>
  </w:num>
  <w:num w:numId="9">
    <w:abstractNumId w:val="0"/>
  </w:num>
  <w:num w:numId="10">
    <w:abstractNumId w:val="3"/>
  </w:num>
  <w:num w:numId="11">
    <w:abstractNumId w:val="5"/>
  </w:num>
  <w:num w:numId="12">
    <w:abstractNumId w:val="4"/>
  </w:num>
  <w:num w:numId="13">
    <w:abstractNumId w:val="19"/>
  </w:num>
  <w:num w:numId="14">
    <w:abstractNumId w:val="18"/>
  </w:num>
  <w:num w:numId="15">
    <w:abstractNumId w:val="26"/>
  </w:num>
  <w:num w:numId="16">
    <w:abstractNumId w:val="13"/>
  </w:num>
  <w:num w:numId="17">
    <w:abstractNumId w:val="6"/>
  </w:num>
  <w:num w:numId="18">
    <w:abstractNumId w:val="20"/>
  </w:num>
  <w:num w:numId="19">
    <w:abstractNumId w:val="7"/>
  </w:num>
  <w:num w:numId="20">
    <w:abstractNumId w:val="21"/>
  </w:num>
  <w:num w:numId="21">
    <w:abstractNumId w:val="17"/>
  </w:num>
  <w:num w:numId="22">
    <w:abstractNumId w:val="24"/>
  </w:num>
  <w:num w:numId="23">
    <w:abstractNumId w:val="1"/>
  </w:num>
  <w:num w:numId="24">
    <w:abstractNumId w:val="10"/>
  </w:num>
  <w:num w:numId="25">
    <w:abstractNumId w:val="22"/>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218C2"/>
    <w:rsid w:val="0002797C"/>
    <w:rsid w:val="00033393"/>
    <w:rsid w:val="00075A25"/>
    <w:rsid w:val="000C3A3D"/>
    <w:rsid w:val="001750D3"/>
    <w:rsid w:val="00212E7A"/>
    <w:rsid w:val="00286918"/>
    <w:rsid w:val="002A6AE7"/>
    <w:rsid w:val="002E0524"/>
    <w:rsid w:val="00327D79"/>
    <w:rsid w:val="003321AB"/>
    <w:rsid w:val="003F6D66"/>
    <w:rsid w:val="00440CA7"/>
    <w:rsid w:val="004662D9"/>
    <w:rsid w:val="004B7E92"/>
    <w:rsid w:val="00542730"/>
    <w:rsid w:val="005607D4"/>
    <w:rsid w:val="005A3E35"/>
    <w:rsid w:val="00616296"/>
    <w:rsid w:val="006615A2"/>
    <w:rsid w:val="006756D9"/>
    <w:rsid w:val="0069215B"/>
    <w:rsid w:val="006A7858"/>
    <w:rsid w:val="006C4ED6"/>
    <w:rsid w:val="00785226"/>
    <w:rsid w:val="007A593D"/>
    <w:rsid w:val="008A2290"/>
    <w:rsid w:val="008B1233"/>
    <w:rsid w:val="00905EFA"/>
    <w:rsid w:val="00917404"/>
    <w:rsid w:val="0094743E"/>
    <w:rsid w:val="00964157"/>
    <w:rsid w:val="00972763"/>
    <w:rsid w:val="009B5506"/>
    <w:rsid w:val="00A352DD"/>
    <w:rsid w:val="00A5430B"/>
    <w:rsid w:val="00A6136C"/>
    <w:rsid w:val="00A674E5"/>
    <w:rsid w:val="00A97B72"/>
    <w:rsid w:val="00AA6976"/>
    <w:rsid w:val="00AB5205"/>
    <w:rsid w:val="00AE4804"/>
    <w:rsid w:val="00B05B09"/>
    <w:rsid w:val="00B15D2A"/>
    <w:rsid w:val="00B76DBD"/>
    <w:rsid w:val="00BE5446"/>
    <w:rsid w:val="00C02BF3"/>
    <w:rsid w:val="00C20806"/>
    <w:rsid w:val="00C5520C"/>
    <w:rsid w:val="00CC0AC9"/>
    <w:rsid w:val="00D72592"/>
    <w:rsid w:val="00D90EA2"/>
    <w:rsid w:val="00DB0056"/>
    <w:rsid w:val="00E57C78"/>
    <w:rsid w:val="00E7595A"/>
    <w:rsid w:val="00E961A5"/>
    <w:rsid w:val="00F02619"/>
    <w:rsid w:val="00F029FD"/>
    <w:rsid w:val="00F274B0"/>
    <w:rsid w:val="00FB3587"/>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character" w:styleId="CommentReference">
    <w:name w:val="annotation reference"/>
    <w:basedOn w:val="DefaultParagraphFont"/>
    <w:uiPriority w:val="99"/>
    <w:semiHidden/>
    <w:unhideWhenUsed/>
    <w:rsid w:val="00F274B0"/>
    <w:rPr>
      <w:sz w:val="16"/>
      <w:szCs w:val="16"/>
    </w:rPr>
  </w:style>
  <w:style w:type="paragraph" w:styleId="CommentText">
    <w:name w:val="annotation text"/>
    <w:basedOn w:val="Normal"/>
    <w:link w:val="CommentTextChar"/>
    <w:uiPriority w:val="99"/>
    <w:semiHidden/>
    <w:unhideWhenUsed/>
    <w:rsid w:val="00F274B0"/>
    <w:pPr>
      <w:spacing w:line="240" w:lineRule="auto"/>
    </w:pPr>
    <w:rPr>
      <w:sz w:val="20"/>
      <w:szCs w:val="20"/>
    </w:rPr>
  </w:style>
  <w:style w:type="character" w:customStyle="1" w:styleId="CommentTextChar">
    <w:name w:val="Comment Text Char"/>
    <w:basedOn w:val="DefaultParagraphFont"/>
    <w:link w:val="CommentText"/>
    <w:uiPriority w:val="99"/>
    <w:semiHidden/>
    <w:rsid w:val="00F274B0"/>
    <w:rPr>
      <w:sz w:val="20"/>
      <w:szCs w:val="20"/>
    </w:rPr>
  </w:style>
  <w:style w:type="paragraph" w:styleId="CommentSubject">
    <w:name w:val="annotation subject"/>
    <w:basedOn w:val="CommentText"/>
    <w:next w:val="CommentText"/>
    <w:link w:val="CommentSubjectChar"/>
    <w:uiPriority w:val="99"/>
    <w:semiHidden/>
    <w:unhideWhenUsed/>
    <w:rsid w:val="00F274B0"/>
    <w:rPr>
      <w:b/>
      <w:bCs/>
    </w:rPr>
  </w:style>
  <w:style w:type="character" w:customStyle="1" w:styleId="CommentSubjectChar">
    <w:name w:val="Comment Subject Char"/>
    <w:basedOn w:val="CommentTextChar"/>
    <w:link w:val="CommentSubject"/>
    <w:uiPriority w:val="99"/>
    <w:semiHidden/>
    <w:rsid w:val="00F274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character" w:styleId="CommentReference">
    <w:name w:val="annotation reference"/>
    <w:basedOn w:val="DefaultParagraphFont"/>
    <w:uiPriority w:val="99"/>
    <w:semiHidden/>
    <w:unhideWhenUsed/>
    <w:rsid w:val="00F274B0"/>
    <w:rPr>
      <w:sz w:val="16"/>
      <w:szCs w:val="16"/>
    </w:rPr>
  </w:style>
  <w:style w:type="paragraph" w:styleId="CommentText">
    <w:name w:val="annotation text"/>
    <w:basedOn w:val="Normal"/>
    <w:link w:val="CommentTextChar"/>
    <w:uiPriority w:val="99"/>
    <w:semiHidden/>
    <w:unhideWhenUsed/>
    <w:rsid w:val="00F274B0"/>
    <w:pPr>
      <w:spacing w:line="240" w:lineRule="auto"/>
    </w:pPr>
    <w:rPr>
      <w:sz w:val="20"/>
      <w:szCs w:val="20"/>
    </w:rPr>
  </w:style>
  <w:style w:type="character" w:customStyle="1" w:styleId="CommentTextChar">
    <w:name w:val="Comment Text Char"/>
    <w:basedOn w:val="DefaultParagraphFont"/>
    <w:link w:val="CommentText"/>
    <w:uiPriority w:val="99"/>
    <w:semiHidden/>
    <w:rsid w:val="00F274B0"/>
    <w:rPr>
      <w:sz w:val="20"/>
      <w:szCs w:val="20"/>
    </w:rPr>
  </w:style>
  <w:style w:type="paragraph" w:styleId="CommentSubject">
    <w:name w:val="annotation subject"/>
    <w:basedOn w:val="CommentText"/>
    <w:next w:val="CommentText"/>
    <w:link w:val="CommentSubjectChar"/>
    <w:uiPriority w:val="99"/>
    <w:semiHidden/>
    <w:unhideWhenUsed/>
    <w:rsid w:val="00F274B0"/>
    <w:rPr>
      <w:b/>
      <w:bCs/>
    </w:rPr>
  </w:style>
  <w:style w:type="character" w:customStyle="1" w:styleId="CommentSubjectChar">
    <w:name w:val="Comment Subject Char"/>
    <w:basedOn w:val="CommentTextChar"/>
    <w:link w:val="CommentSubject"/>
    <w:uiPriority w:val="99"/>
    <w:semiHidden/>
    <w:rsid w:val="00F274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1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legislation/hswa.htm" TargetMode="External"/><Relationship Id="rId18" Type="http://schemas.openxmlformats.org/officeDocument/2006/relationships/hyperlink" Target="http://www.hse.gov.uk/noise/faq.htm" TargetMode="External"/><Relationship Id="rId26" Type="http://schemas.openxmlformats.org/officeDocument/2006/relationships/hyperlink" Target="http://www.hse.gov.uk/risk/faq.htm" TargetMode="External"/><Relationship Id="rId39" Type="http://schemas.openxmlformats.org/officeDocument/2006/relationships/hyperlink" Target="http://www.hse.gov.uk/pubns/priced/l101.pdf" TargetMode="External"/><Relationship Id="rId3" Type="http://schemas.openxmlformats.org/officeDocument/2006/relationships/styles" Target="styles.xml"/><Relationship Id="rId21" Type="http://schemas.openxmlformats.org/officeDocument/2006/relationships/hyperlink" Target="http://www.hse.gov.uk/vibration/wbv/risks.htm" TargetMode="External"/><Relationship Id="rId34" Type="http://schemas.openxmlformats.org/officeDocument/2006/relationships/hyperlink" Target="http://www.hse.gov.uk/coshh/basics/permits.htm" TargetMode="External"/><Relationship Id="rId42" Type="http://schemas.openxmlformats.org/officeDocument/2006/relationships/hyperlink" Target="http://www.hse.gov.uk/pubns/priced/l22.pdf" TargetMode="External"/><Relationship Id="rId47" Type="http://schemas.openxmlformats.org/officeDocument/2006/relationships/hyperlink" Target="http://www.hse.gov.uk/pubns/indg143.pdf" TargetMode="External"/><Relationship Id="rId50" Type="http://schemas.openxmlformats.org/officeDocument/2006/relationships/hyperlink" Target="http://www.hse.gov.uk/msd/mac/assess03.htm" TargetMode="External"/><Relationship Id="rId7" Type="http://schemas.openxmlformats.org/officeDocument/2006/relationships/footnotes" Target="footnotes.xml"/><Relationship Id="rId12" Type="http://schemas.openxmlformats.org/officeDocument/2006/relationships/hyperlink" Target="http://www.legislation.gov.uk/ukpga/1974/37/contents" TargetMode="External"/><Relationship Id="rId17" Type="http://schemas.openxmlformats.org/officeDocument/2006/relationships/hyperlink" Target="http://www.legislation.gov.uk/uksi/2002/2677/contents/made" TargetMode="External"/><Relationship Id="rId25" Type="http://schemas.openxmlformats.org/officeDocument/2006/relationships/hyperlink" Target="http://www.hse.gov.uk/pubns/indg163.pdf" TargetMode="External"/><Relationship Id="rId33" Type="http://schemas.openxmlformats.org/officeDocument/2006/relationships/hyperlink" Target="http://www.hse.gov.uk/Toolbox/managing/signs.htm" TargetMode="External"/><Relationship Id="rId38" Type="http://schemas.openxmlformats.org/officeDocument/2006/relationships/hyperlink" Target="http://www.hse.gov.uk/pubns/indg258.pdf" TargetMode="External"/><Relationship Id="rId46" Type="http://schemas.openxmlformats.org/officeDocument/2006/relationships/hyperlink" Target="http://www.hse.gov.uk/safemaintenance/permits.htm" TargetMode="External"/><Relationship Id="rId2" Type="http://schemas.openxmlformats.org/officeDocument/2006/relationships/numbering" Target="numbering.xml"/><Relationship Id="rId16" Type="http://schemas.openxmlformats.org/officeDocument/2006/relationships/hyperlink" Target="http://www.hse.gov.uk/coshh/basics.htm" TargetMode="External"/><Relationship Id="rId20" Type="http://schemas.openxmlformats.org/officeDocument/2006/relationships/hyperlink" Target="http://www.hse.gov.uk/noise/regulations.htm" TargetMode="External"/><Relationship Id="rId29" Type="http://schemas.openxmlformats.org/officeDocument/2006/relationships/hyperlink" Target="http://www.hse.gov.uk/agriculture/zoonoses-data-sheets/leptospirosis.pdf" TargetMode="External"/><Relationship Id="rId41" Type="http://schemas.openxmlformats.org/officeDocument/2006/relationships/hyperlink" Target="http://www.hse.gov.uk/pubns/indg291.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se.gov.uk/construction/lwit/assets/downloads/hierarchy-risk-controls.pdf" TargetMode="External"/><Relationship Id="rId32" Type="http://schemas.openxmlformats.org/officeDocument/2006/relationships/hyperlink" Target="http://www.hse.gov.uk/workplacetransport/information/reversing.htm" TargetMode="External"/><Relationship Id="rId37" Type="http://schemas.openxmlformats.org/officeDocument/2006/relationships/hyperlink" Target="http://www.hse.gov.uk/pubns/priced/l138.pdf" TargetMode="External"/><Relationship Id="rId40" Type="http://schemas.openxmlformats.org/officeDocument/2006/relationships/hyperlink" Target="http://www.hse.gov.uk/pubns/indg290.pdf" TargetMode="External"/><Relationship Id="rId45" Type="http://schemas.openxmlformats.org/officeDocument/2006/relationships/hyperlink" Target="http://www.hse.gov.uk/agriculture/topics/maintenance.ht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se.gov.uk/riddor/key-definitions.htm" TargetMode="External"/><Relationship Id="rId23" Type="http://schemas.openxmlformats.org/officeDocument/2006/relationships/hyperlink" Target="http://www.hse.gov.uk/chemicals/dispose.htm" TargetMode="External"/><Relationship Id="rId28" Type="http://schemas.openxmlformats.org/officeDocument/2006/relationships/hyperlink" Target="http://www.hse.gov.uk/waste/health.htm" TargetMode="External"/><Relationship Id="rId36" Type="http://schemas.openxmlformats.org/officeDocument/2006/relationships/hyperlink" Target="http://www.hse.gov.uk/toolbox/height.htm" TargetMode="External"/><Relationship Id="rId49" Type="http://schemas.openxmlformats.org/officeDocument/2006/relationships/hyperlink" Target="http://www.hse.gov.uk/msd/faq-manhand.htm" TargetMode="External"/><Relationship Id="rId10" Type="http://schemas.openxmlformats.org/officeDocument/2006/relationships/header" Target="header1.xml"/><Relationship Id="rId19" Type="http://schemas.openxmlformats.org/officeDocument/2006/relationships/hyperlink" Target="http://www.hse.gov.uk/pubns/priced/l108.pdf" TargetMode="External"/><Relationship Id="rId31" Type="http://schemas.openxmlformats.org/officeDocument/2006/relationships/hyperlink" Target="http://www.hse.gov.uk/pubns/indg199.pdf" TargetMode="External"/><Relationship Id="rId44" Type="http://schemas.openxmlformats.org/officeDocument/2006/relationships/hyperlink" Target="http://www.hse.gov.uk/work-equipment-machinery/maintenance.htm" TargetMode="External"/><Relationship Id="rId52" Type="http://schemas.openxmlformats.org/officeDocument/2006/relationships/hyperlink" Target="https://wamitab.org.uk/competence/continuing-competence/test-score-calculato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slation.gov.uk/ukpga/1974/37/contents" TargetMode="External"/><Relationship Id="rId22" Type="http://schemas.openxmlformats.org/officeDocument/2006/relationships/hyperlink" Target="http://www.hse.gov.uk/asbestos/essentials/index.htm" TargetMode="External"/><Relationship Id="rId27" Type="http://schemas.openxmlformats.org/officeDocument/2006/relationships/hyperlink" Target="http://www.hse.gov.uk/pubns/indg417.pdf" TargetMode="External"/><Relationship Id="rId30" Type="http://schemas.openxmlformats.org/officeDocument/2006/relationships/hyperlink" Target="http://www.hse.gov.uk/pubns/indg449.pdf" TargetMode="External"/><Relationship Id="rId35" Type="http://schemas.openxmlformats.org/officeDocument/2006/relationships/hyperlink" Target="http://www.hse.gov.uk/toolbox/" TargetMode="External"/><Relationship Id="rId43" Type="http://schemas.openxmlformats.org/officeDocument/2006/relationships/hyperlink" Target="http://www.hse.gov.uk/work-equipment-machinery/loler.htm" TargetMode="External"/><Relationship Id="rId48" Type="http://schemas.openxmlformats.org/officeDocument/2006/relationships/hyperlink" Target="http://www.hse.gov.uk/MSd/manualhandling.htm" TargetMode="External"/><Relationship Id="rId8" Type="http://schemas.openxmlformats.org/officeDocument/2006/relationships/endnotes" Target="endnotes.xml"/><Relationship Id="rId5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13E09F-7021-479D-9369-3348555A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2019-02-18T16:21:00Z</dcterms:created>
  <dcterms:modified xsi:type="dcterms:W3CDTF">2019-02-18T16:21:00Z</dcterms:modified>
</cp:coreProperties>
</file>