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A3D" w:rsidRDefault="00F9256E" w:rsidP="00A6136C">
      <w:pPr>
        <w:spacing w:before="240" w:after="0"/>
        <w:rPr>
          <w:b/>
          <w:color w:val="7030A0"/>
          <w:sz w:val="24"/>
        </w:rPr>
      </w:pPr>
      <w:bookmarkStart w:id="0" w:name="_GoBack"/>
      <w:bookmarkEnd w:id="0"/>
      <w:r>
        <w:rPr>
          <w:b/>
          <w:color w:val="7030A0"/>
          <w:sz w:val="24"/>
        </w:rPr>
        <w:t>L</w:t>
      </w:r>
      <w:r w:rsidR="003D087C">
        <w:rPr>
          <w:b/>
          <w:color w:val="7030A0"/>
          <w:sz w:val="24"/>
        </w:rPr>
        <w:t>andfill Inert</w:t>
      </w:r>
    </w:p>
    <w:p w:rsidR="00A6136C" w:rsidRDefault="00A6136C" w:rsidP="00A6136C">
      <w:pPr>
        <w:spacing w:after="0"/>
        <w:rPr>
          <w:b/>
        </w:rPr>
      </w:pPr>
      <w:r>
        <w:rPr>
          <w:b/>
        </w:rPr>
        <w:t>Content Changes 2016-2018 Revision Guide</w:t>
      </w:r>
    </w:p>
    <w:p w:rsidR="007279D4" w:rsidRPr="007279D4" w:rsidRDefault="007279D4" w:rsidP="007279D4">
      <w:pPr>
        <w:spacing w:after="0"/>
        <w:rPr>
          <w:rFonts w:ascii="Calibri" w:eastAsia="Calibri" w:hAnsi="Calibri" w:cs="Times New Roman"/>
          <w:b/>
          <w:i/>
        </w:rPr>
      </w:pPr>
      <w:r w:rsidRPr="007279D4">
        <w:rPr>
          <w:rFonts w:ascii="Calibri" w:eastAsia="Calibri" w:hAnsi="Calibri" w:cs="Times New Roman"/>
          <w:b/>
          <w:i/>
        </w:rPr>
        <w:t xml:space="preserve">All page numbers refer to the 2016-2018 Revision Guides with red covers. </w:t>
      </w:r>
    </w:p>
    <w:p w:rsidR="007279D4" w:rsidRDefault="007279D4" w:rsidP="00A6136C">
      <w:pPr>
        <w:spacing w:after="0"/>
        <w:rPr>
          <w:b/>
        </w:rPr>
      </w:pPr>
    </w:p>
    <w:p w:rsidR="008A2290" w:rsidRDefault="008A2290" w:rsidP="008A2290">
      <w:pPr>
        <w:rPr>
          <w:i/>
          <w:color w:val="7030A0"/>
        </w:rPr>
      </w:pPr>
      <w:r>
        <w:rPr>
          <w:i/>
          <w:color w:val="7030A0"/>
        </w:rPr>
        <w:t xml:space="preserve">Section </w:t>
      </w:r>
      <w:r w:rsidR="003D087C">
        <w:rPr>
          <w:i/>
          <w:color w:val="7030A0"/>
        </w:rPr>
        <w:t>1</w:t>
      </w:r>
      <w:r>
        <w:rPr>
          <w:i/>
          <w:color w:val="7030A0"/>
        </w:rPr>
        <w:t xml:space="preserve">: </w:t>
      </w:r>
      <w:r w:rsidR="003D087C">
        <w:rPr>
          <w:i/>
          <w:color w:val="7030A0"/>
        </w:rPr>
        <w:t>Financial Provision</w:t>
      </w:r>
      <w:r w:rsidR="00E57C78">
        <w:rPr>
          <w:i/>
          <w:color w:val="7030A0"/>
        </w:rPr>
        <w:t>, page 1</w:t>
      </w:r>
      <w:r w:rsidR="003D087C">
        <w:rPr>
          <w:i/>
          <w:color w:val="7030A0"/>
        </w:rPr>
        <w:t>5</w:t>
      </w:r>
    </w:p>
    <w:p w:rsidR="003D087C" w:rsidRPr="003D087C" w:rsidRDefault="003D087C" w:rsidP="007F566C">
      <w:r w:rsidRPr="003D087C">
        <w:t xml:space="preserve">Waste operators need to outline in their written management system how that plan to demonstrate technical competence. This should include reference to which approved industry scheme they will use. </w:t>
      </w:r>
    </w:p>
    <w:p w:rsidR="007F566C" w:rsidRPr="003D087C" w:rsidRDefault="003D087C" w:rsidP="007F566C">
      <w:pPr>
        <w:rPr>
          <w:i/>
          <w:color w:val="7030A0"/>
          <w:sz w:val="24"/>
        </w:rPr>
      </w:pPr>
      <w:r w:rsidRPr="003D087C">
        <w:t>If landfill operators plan to comply with the CIWM/WAMITAB Operator Competence Scheme , they must remember that there is no 12 month grace period for new permit applications. Furthermore, when a landfill operator achieves their primary competence qualification, they must take the Continuing Competence test every two years to maintain their knowledge.</w:t>
      </w:r>
    </w:p>
    <w:p w:rsidR="000F7123" w:rsidRDefault="000F7123" w:rsidP="003D087C">
      <w:pPr>
        <w:rPr>
          <w:i/>
          <w:color w:val="7030A0"/>
        </w:rPr>
      </w:pPr>
      <w:r>
        <w:rPr>
          <w:i/>
          <w:color w:val="7030A0"/>
        </w:rPr>
        <w:t>Section 3: Verification and Sampling, page 25</w:t>
      </w:r>
    </w:p>
    <w:p w:rsidR="003D087C" w:rsidRDefault="003D087C" w:rsidP="003D087C">
      <w:pPr>
        <w:rPr>
          <w:i/>
          <w:color w:val="7030A0"/>
        </w:rPr>
      </w:pPr>
      <w:r>
        <w:rPr>
          <w:i/>
          <w:color w:val="7030A0"/>
        </w:rPr>
        <w:t>NEW Learning Outcomes 3.5: Know what paperwork is required for accepting inert waste to landfill.</w:t>
      </w:r>
    </w:p>
    <w:p w:rsidR="003D087C" w:rsidRPr="003D087C" w:rsidRDefault="003D087C" w:rsidP="003D087C">
      <w:pPr>
        <w:rPr>
          <w:b/>
          <w:color w:val="7030A0"/>
        </w:rPr>
      </w:pPr>
      <w:r w:rsidRPr="003D087C">
        <w:rPr>
          <w:b/>
          <w:color w:val="7030A0"/>
        </w:rPr>
        <w:t>Visual Inspection</w:t>
      </w:r>
    </w:p>
    <w:p w:rsidR="003D087C" w:rsidRDefault="003D087C" w:rsidP="003D087C">
      <w:r>
        <w:t xml:space="preserve">Operators should ensure all wastes at the point of deposit are visually inspected using staff </w:t>
      </w:r>
      <w:r w:rsidR="00F11C75">
        <w:t>that</w:t>
      </w:r>
      <w:r>
        <w:t xml:space="preserve"> are:</w:t>
      </w:r>
    </w:p>
    <w:p w:rsidR="003D087C" w:rsidRDefault="003D087C" w:rsidP="003D087C">
      <w:pPr>
        <w:pStyle w:val="ListParagraph"/>
        <w:numPr>
          <w:ilvl w:val="0"/>
          <w:numId w:val="19"/>
        </w:numPr>
      </w:pPr>
      <w:r>
        <w:t>Aware of the waste description for each load they are inspecting.</w:t>
      </w:r>
    </w:p>
    <w:p w:rsidR="003D087C" w:rsidRPr="00104DB6" w:rsidRDefault="003D087C" w:rsidP="003D087C">
      <w:pPr>
        <w:pStyle w:val="ListParagraph"/>
        <w:numPr>
          <w:ilvl w:val="0"/>
          <w:numId w:val="19"/>
        </w:numPr>
      </w:pPr>
      <w:r>
        <w:t>Familiar with the wastes permitted for disposal at the landfill.</w:t>
      </w:r>
    </w:p>
    <w:p w:rsidR="003D087C" w:rsidRDefault="003D087C" w:rsidP="003D087C">
      <w:pPr>
        <w:rPr>
          <w:szCs w:val="20"/>
        </w:rPr>
      </w:pPr>
      <w:r w:rsidRPr="003D087C">
        <w:rPr>
          <w:szCs w:val="20"/>
        </w:rPr>
        <w:t xml:space="preserve">Non-hazardous waste loads must only be accepted on site if they are accompanied by a Waste Transfer Note or a written document with the same information. </w:t>
      </w:r>
    </w:p>
    <w:p w:rsidR="00B13E7E" w:rsidRDefault="00B13E7E" w:rsidP="003D087C">
      <w:pPr>
        <w:rPr>
          <w:szCs w:val="20"/>
        </w:rPr>
      </w:pPr>
    </w:p>
    <w:p w:rsidR="00B13E7E" w:rsidRDefault="00B13E7E" w:rsidP="003D087C">
      <w:pPr>
        <w:rPr>
          <w:szCs w:val="20"/>
        </w:rPr>
      </w:pPr>
    </w:p>
    <w:p w:rsidR="003D087C" w:rsidRDefault="003D087C" w:rsidP="003D087C">
      <w:pPr>
        <w:rPr>
          <w:szCs w:val="20"/>
        </w:rPr>
      </w:pPr>
      <w:r w:rsidRPr="003D087C">
        <w:rPr>
          <w:szCs w:val="20"/>
        </w:rPr>
        <w:t>A Waste Transfer Note includes a description of the waste, the current holder of the wastes details and the person collecting the wastes details.</w:t>
      </w:r>
    </w:p>
    <w:p w:rsidR="003D087C" w:rsidRDefault="003D087C" w:rsidP="003D087C">
      <w:pPr>
        <w:rPr>
          <w:i/>
          <w:color w:val="7030A0"/>
        </w:rPr>
      </w:pPr>
      <w:r>
        <w:rPr>
          <w:i/>
          <w:color w:val="7030A0"/>
        </w:rPr>
        <w:t>Section 4: Noise, Dust, Odour and Other Nuisance, page 2</w:t>
      </w:r>
      <w:r w:rsidR="00671B6E">
        <w:rPr>
          <w:i/>
          <w:color w:val="7030A0"/>
        </w:rPr>
        <w:t>9</w:t>
      </w:r>
    </w:p>
    <w:p w:rsidR="003D087C" w:rsidRPr="003D087C" w:rsidRDefault="003D087C" w:rsidP="003D087C">
      <w:pPr>
        <w:rPr>
          <w:i/>
          <w:color w:val="7030A0"/>
        </w:rPr>
      </w:pPr>
      <w:r w:rsidRPr="003D087C">
        <w:t>Applying a cover to a landfill surface can prevent windblown litter, minimise the risk of fire and minimise the visual impact of the site.</w:t>
      </w:r>
    </w:p>
    <w:p w:rsidR="003D087C" w:rsidRDefault="003D087C" w:rsidP="003D087C">
      <w:pPr>
        <w:rPr>
          <w:i/>
          <w:color w:val="7030A0"/>
        </w:rPr>
      </w:pPr>
      <w:r>
        <w:rPr>
          <w:i/>
          <w:color w:val="7030A0"/>
        </w:rPr>
        <w:t>Section 6: Landfill Gas, page 3</w:t>
      </w:r>
      <w:r w:rsidR="00671B6E">
        <w:rPr>
          <w:i/>
          <w:color w:val="7030A0"/>
        </w:rPr>
        <w:t>9</w:t>
      </w:r>
    </w:p>
    <w:p w:rsidR="003D087C" w:rsidRPr="003D087C" w:rsidRDefault="003D087C" w:rsidP="003D087C">
      <w:r w:rsidRPr="003D087C">
        <w:t>The collection, treatment and use of landfill gas must be carried out in a manner which minimises damage to</w:t>
      </w:r>
      <w:r w:rsidR="001F147D">
        <w:t>,</w:t>
      </w:r>
      <w:r w:rsidRPr="003D087C">
        <w:t xml:space="preserve"> or deterioration of</w:t>
      </w:r>
      <w:r w:rsidR="001F147D">
        <w:t>,</w:t>
      </w:r>
      <w:r w:rsidRPr="003D087C">
        <w:t xml:space="preserve"> the environment and risk to human health.</w:t>
      </w:r>
    </w:p>
    <w:p w:rsidR="003D087C" w:rsidRPr="003D087C" w:rsidRDefault="003D087C" w:rsidP="003D087C">
      <w:pPr>
        <w:rPr>
          <w:i/>
          <w:color w:val="7030A0"/>
          <w:sz w:val="28"/>
        </w:rPr>
      </w:pPr>
      <w:r w:rsidRPr="003D087C">
        <w:t>Landfill gas can be used to produce electricity reducing the quantities of greenhouse gas (GHGs) released to atmosphere.</w:t>
      </w:r>
    </w:p>
    <w:p w:rsidR="003D087C" w:rsidRDefault="003D087C" w:rsidP="003D087C">
      <w:pPr>
        <w:rPr>
          <w:i/>
          <w:color w:val="7030A0"/>
        </w:rPr>
      </w:pPr>
      <w:r>
        <w:rPr>
          <w:i/>
          <w:color w:val="7030A0"/>
        </w:rPr>
        <w:t>Section 7: Records, Submissions and Notifications, page 4</w:t>
      </w:r>
      <w:r w:rsidR="00671B6E">
        <w:rPr>
          <w:i/>
          <w:color w:val="7030A0"/>
        </w:rPr>
        <w:t>2</w:t>
      </w:r>
    </w:p>
    <w:p w:rsidR="003D087C" w:rsidRDefault="003D087C" w:rsidP="003D087C">
      <w:r w:rsidRPr="005C3EB3">
        <w:t>The Landfill Directive requires operators to keep a register of the quantities and characteristics of the wastes deposited at their site. Records should include:</w:t>
      </w:r>
    </w:p>
    <w:p w:rsidR="003D087C" w:rsidRDefault="003D087C" w:rsidP="003D087C">
      <w:pPr>
        <w:pStyle w:val="ListParagraph"/>
        <w:numPr>
          <w:ilvl w:val="0"/>
          <w:numId w:val="20"/>
        </w:numPr>
      </w:pPr>
      <w:r>
        <w:t>Quanti</w:t>
      </w:r>
      <w:r w:rsidR="00BA44B5">
        <w:t>t</w:t>
      </w:r>
      <w:r>
        <w:t>y of waste deposited.</w:t>
      </w:r>
    </w:p>
    <w:p w:rsidR="003D087C" w:rsidRDefault="003D087C" w:rsidP="003D087C">
      <w:pPr>
        <w:pStyle w:val="ListParagraph"/>
        <w:numPr>
          <w:ilvl w:val="0"/>
          <w:numId w:val="20"/>
        </w:numPr>
      </w:pPr>
      <w:r>
        <w:t>Waste characteristics.</w:t>
      </w:r>
    </w:p>
    <w:p w:rsidR="003D087C" w:rsidRDefault="003D087C" w:rsidP="003D087C">
      <w:pPr>
        <w:pStyle w:val="ListParagraph"/>
        <w:numPr>
          <w:ilvl w:val="0"/>
          <w:numId w:val="20"/>
        </w:numPr>
      </w:pPr>
      <w:r>
        <w:t>Waste origin.</w:t>
      </w:r>
    </w:p>
    <w:p w:rsidR="003D087C" w:rsidRDefault="003D087C" w:rsidP="003D087C">
      <w:pPr>
        <w:pStyle w:val="ListParagraph"/>
        <w:numPr>
          <w:ilvl w:val="0"/>
          <w:numId w:val="20"/>
        </w:numPr>
      </w:pPr>
      <w:r>
        <w:t>Delivery date</w:t>
      </w:r>
      <w:r w:rsidR="00E25F59">
        <w:t>.</w:t>
      </w:r>
    </w:p>
    <w:p w:rsidR="003D087C" w:rsidRPr="005C3EB3" w:rsidRDefault="003D087C" w:rsidP="003D087C">
      <w:pPr>
        <w:pStyle w:val="ListParagraph"/>
        <w:numPr>
          <w:ilvl w:val="0"/>
          <w:numId w:val="20"/>
        </w:numPr>
      </w:pPr>
      <w:r>
        <w:t>Identity of the producer.</w:t>
      </w:r>
    </w:p>
    <w:p w:rsidR="003D087C" w:rsidRPr="003D087C" w:rsidRDefault="003D087C" w:rsidP="003D087C">
      <w:pPr>
        <w:rPr>
          <w:i/>
          <w:color w:val="7030A0"/>
        </w:rPr>
      </w:pPr>
      <w:r w:rsidRPr="003D087C">
        <w:t>Consignee returns must be sent to the environmental regulator and waste producer or holder every quarter. There is a spread sheet available to download from the environmental regulator website for consignee returns.</w:t>
      </w:r>
    </w:p>
    <w:p w:rsidR="00F9256E" w:rsidRPr="00F9256E" w:rsidRDefault="00F9256E" w:rsidP="00F9256E"/>
    <w:p w:rsidR="00F9256E" w:rsidRDefault="00F9256E" w:rsidP="00972763"/>
    <w:p w:rsidR="00F9256E" w:rsidRDefault="00F9256E" w:rsidP="00972763">
      <w:pPr>
        <w:sectPr w:rsidR="00F9256E" w:rsidSect="00033393">
          <w:headerReference w:type="default" r:id="rId9"/>
          <w:footerReference w:type="default" r:id="rId10"/>
          <w:pgSz w:w="11906" w:h="16838"/>
          <w:pgMar w:top="1440" w:right="1440" w:bottom="1440" w:left="1440" w:header="708" w:footer="708" w:gutter="0"/>
          <w:cols w:num="2" w:space="708"/>
          <w:docGrid w:linePitch="360"/>
        </w:sectPr>
      </w:pPr>
    </w:p>
    <w:p w:rsidR="009B5506" w:rsidRDefault="009B5506" w:rsidP="009253D5">
      <w:pPr>
        <w:spacing w:before="240" w:after="0"/>
        <w:rPr>
          <w:i/>
          <w:color w:val="7030A0"/>
        </w:rPr>
      </w:pPr>
    </w:p>
    <w:p w:rsidR="00C02BF3" w:rsidRPr="00C02BF3" w:rsidRDefault="00C02BF3" w:rsidP="00C02BF3">
      <w:pPr>
        <w:rPr>
          <w:i/>
          <w:color w:val="7030A0"/>
        </w:rPr>
      </w:pPr>
      <w:r>
        <w:rPr>
          <w:i/>
          <w:color w:val="7030A0"/>
        </w:rPr>
        <w:t>Revised List of Sources</w:t>
      </w:r>
    </w:p>
    <w:tbl>
      <w:tblPr>
        <w:tblStyle w:val="TableGrid"/>
        <w:tblW w:w="4503" w:type="dxa"/>
        <w:tblLayout w:type="fixed"/>
        <w:tblLook w:val="04A0" w:firstRow="1" w:lastRow="0" w:firstColumn="1" w:lastColumn="0" w:noHBand="0" w:noVBand="1"/>
      </w:tblPr>
      <w:tblGrid>
        <w:gridCol w:w="1242"/>
        <w:gridCol w:w="3261"/>
      </w:tblGrid>
      <w:tr w:rsidR="003D087C" w:rsidRPr="00AA5E92" w:rsidTr="00B348D5">
        <w:tc>
          <w:tcPr>
            <w:tcW w:w="1242" w:type="dxa"/>
            <w:shd w:val="clear" w:color="auto" w:fill="7030A0"/>
          </w:tcPr>
          <w:p w:rsidR="003D087C" w:rsidRPr="00336B83" w:rsidRDefault="003D087C" w:rsidP="003D087C">
            <w:pPr>
              <w:spacing w:after="120"/>
              <w:rPr>
                <w:b/>
                <w:color w:val="FFFFFF" w:themeColor="background1"/>
                <w:sz w:val="20"/>
                <w:szCs w:val="18"/>
              </w:rPr>
            </w:pPr>
            <w:r w:rsidRPr="00336B83">
              <w:rPr>
                <w:b/>
                <w:color w:val="FFFFFF" w:themeColor="background1"/>
                <w:sz w:val="20"/>
                <w:szCs w:val="18"/>
              </w:rPr>
              <w:t>Page</w:t>
            </w:r>
          </w:p>
        </w:tc>
        <w:tc>
          <w:tcPr>
            <w:tcW w:w="3261" w:type="dxa"/>
            <w:shd w:val="clear" w:color="auto" w:fill="7030A0"/>
          </w:tcPr>
          <w:p w:rsidR="003D087C" w:rsidRPr="00336B83" w:rsidRDefault="003D087C" w:rsidP="003D087C">
            <w:pPr>
              <w:spacing w:after="120"/>
              <w:rPr>
                <w:b/>
                <w:color w:val="FFFFFF" w:themeColor="background1"/>
                <w:sz w:val="20"/>
                <w:szCs w:val="18"/>
              </w:rPr>
            </w:pPr>
            <w:r w:rsidRPr="00336B83">
              <w:rPr>
                <w:b/>
                <w:color w:val="FFFFFF" w:themeColor="background1"/>
                <w:sz w:val="20"/>
                <w:szCs w:val="18"/>
              </w:rPr>
              <w:t>Source</w:t>
            </w:r>
          </w:p>
        </w:tc>
      </w:tr>
      <w:tr w:rsidR="003D087C" w:rsidRPr="00AA5E92" w:rsidTr="00B348D5">
        <w:tc>
          <w:tcPr>
            <w:tcW w:w="1242" w:type="dxa"/>
          </w:tcPr>
          <w:p w:rsidR="003D087C" w:rsidRPr="00336B83" w:rsidRDefault="003D087C" w:rsidP="00013D65">
            <w:pPr>
              <w:spacing w:after="120"/>
              <w:rPr>
                <w:sz w:val="20"/>
                <w:szCs w:val="18"/>
              </w:rPr>
            </w:pPr>
            <w:r w:rsidRPr="00336B83">
              <w:rPr>
                <w:sz w:val="20"/>
                <w:szCs w:val="18"/>
              </w:rPr>
              <w:t>13,14,15,</w:t>
            </w:r>
            <w:r w:rsidR="00B348D5">
              <w:rPr>
                <w:sz w:val="20"/>
                <w:szCs w:val="18"/>
              </w:rPr>
              <w:t xml:space="preserve"> </w:t>
            </w:r>
            <w:r w:rsidRPr="00336B83">
              <w:rPr>
                <w:sz w:val="20"/>
                <w:szCs w:val="18"/>
              </w:rPr>
              <w:t>18,22,23,</w:t>
            </w:r>
            <w:r w:rsidR="00B348D5">
              <w:rPr>
                <w:sz w:val="20"/>
                <w:szCs w:val="18"/>
              </w:rPr>
              <w:t xml:space="preserve"> </w:t>
            </w:r>
            <w:r w:rsidRPr="00336B83">
              <w:rPr>
                <w:sz w:val="20"/>
                <w:szCs w:val="18"/>
              </w:rPr>
              <w:t>24</w:t>
            </w:r>
            <w:r w:rsidR="00B348D5">
              <w:rPr>
                <w:sz w:val="20"/>
                <w:szCs w:val="18"/>
              </w:rPr>
              <w:t>,</w:t>
            </w:r>
            <w:r w:rsidRPr="00336B83">
              <w:rPr>
                <w:sz w:val="20"/>
                <w:szCs w:val="18"/>
              </w:rPr>
              <w:t>27,28,</w:t>
            </w:r>
            <w:r w:rsidR="00B348D5">
              <w:rPr>
                <w:sz w:val="20"/>
                <w:szCs w:val="18"/>
              </w:rPr>
              <w:t xml:space="preserve"> </w:t>
            </w:r>
            <w:r w:rsidRPr="00336B83">
              <w:rPr>
                <w:sz w:val="20"/>
                <w:szCs w:val="18"/>
              </w:rPr>
              <w:t>31,33,40,43</w:t>
            </w:r>
          </w:p>
        </w:tc>
        <w:tc>
          <w:tcPr>
            <w:tcW w:w="3261" w:type="dxa"/>
          </w:tcPr>
          <w:p w:rsidR="003D087C" w:rsidRPr="00AA5E92" w:rsidRDefault="00B80785" w:rsidP="003D087C">
            <w:pPr>
              <w:rPr>
                <w:sz w:val="20"/>
                <w:szCs w:val="18"/>
              </w:rPr>
            </w:pPr>
            <w:hyperlink r:id="rId11" w:history="1">
              <w:r w:rsidR="003D087C" w:rsidRPr="00AA5E92">
                <w:rPr>
                  <w:rStyle w:val="Hyperlink"/>
                  <w:sz w:val="20"/>
                  <w:szCs w:val="18"/>
                </w:rPr>
                <w:t>Environment Agency (2009) Landfill: How to comply with your environmental permit</w:t>
              </w:r>
            </w:hyperlink>
            <w:r w:rsidR="003D087C" w:rsidRPr="00AA5E92">
              <w:rPr>
                <w:color w:val="7030A0"/>
                <w:sz w:val="20"/>
                <w:szCs w:val="18"/>
              </w:rPr>
              <w:t xml:space="preserve"> </w:t>
            </w:r>
          </w:p>
        </w:tc>
      </w:tr>
      <w:tr w:rsidR="003D087C" w:rsidRPr="00AA5E92" w:rsidTr="00B348D5">
        <w:tc>
          <w:tcPr>
            <w:tcW w:w="1242" w:type="dxa"/>
          </w:tcPr>
          <w:p w:rsidR="00013D65" w:rsidRDefault="003D087C" w:rsidP="003D087C">
            <w:pPr>
              <w:spacing w:after="120"/>
              <w:rPr>
                <w:sz w:val="20"/>
                <w:szCs w:val="18"/>
              </w:rPr>
            </w:pPr>
            <w:r w:rsidRPr="00336B83">
              <w:rPr>
                <w:sz w:val="20"/>
                <w:szCs w:val="18"/>
              </w:rPr>
              <w:t>23,24,27,</w:t>
            </w:r>
          </w:p>
          <w:p w:rsidR="003D087C" w:rsidRPr="00336B83" w:rsidRDefault="003D087C" w:rsidP="003D087C">
            <w:pPr>
              <w:spacing w:after="120"/>
              <w:rPr>
                <w:sz w:val="20"/>
                <w:szCs w:val="18"/>
              </w:rPr>
            </w:pPr>
            <w:r w:rsidRPr="00336B83">
              <w:rPr>
                <w:sz w:val="20"/>
                <w:szCs w:val="18"/>
              </w:rPr>
              <w:t>33,36,43</w:t>
            </w:r>
          </w:p>
        </w:tc>
        <w:tc>
          <w:tcPr>
            <w:tcW w:w="3261" w:type="dxa"/>
          </w:tcPr>
          <w:p w:rsidR="003D087C" w:rsidRPr="00AA5E92" w:rsidRDefault="00B80785" w:rsidP="003D087C">
            <w:pPr>
              <w:rPr>
                <w:color w:val="943634" w:themeColor="accent2" w:themeShade="BF"/>
                <w:sz w:val="20"/>
                <w:szCs w:val="18"/>
              </w:rPr>
            </w:pPr>
            <w:hyperlink r:id="rId12" w:history="1">
              <w:r w:rsidR="003D087C" w:rsidRPr="00AA5E92">
                <w:rPr>
                  <w:rStyle w:val="Hyperlink"/>
                  <w:sz w:val="20"/>
                  <w:szCs w:val="18"/>
                </w:rPr>
                <w:t>Natural Resources Wales (2014) How to comply with your environmental permit. Additional guidance for Landfill</w:t>
              </w:r>
            </w:hyperlink>
            <w:r w:rsidR="003D087C" w:rsidRPr="00AA5E92">
              <w:rPr>
                <w:color w:val="7030A0"/>
                <w:sz w:val="20"/>
                <w:szCs w:val="18"/>
              </w:rPr>
              <w:t xml:space="preserve"> </w:t>
            </w:r>
          </w:p>
        </w:tc>
      </w:tr>
      <w:tr w:rsidR="003D087C" w:rsidRPr="00AA5E92" w:rsidTr="00B348D5">
        <w:tc>
          <w:tcPr>
            <w:tcW w:w="1242" w:type="dxa"/>
          </w:tcPr>
          <w:p w:rsidR="003D087C" w:rsidRPr="00336B83" w:rsidRDefault="003D087C" w:rsidP="003D087C">
            <w:pPr>
              <w:spacing w:after="120"/>
              <w:rPr>
                <w:sz w:val="20"/>
                <w:szCs w:val="18"/>
              </w:rPr>
            </w:pPr>
            <w:r w:rsidRPr="00336B83">
              <w:rPr>
                <w:sz w:val="20"/>
                <w:szCs w:val="18"/>
              </w:rPr>
              <w:t>15</w:t>
            </w:r>
          </w:p>
        </w:tc>
        <w:tc>
          <w:tcPr>
            <w:tcW w:w="3261" w:type="dxa"/>
          </w:tcPr>
          <w:p w:rsidR="003D087C" w:rsidRPr="00AA5E92" w:rsidRDefault="00B80785" w:rsidP="003D087C">
            <w:pPr>
              <w:rPr>
                <w:color w:val="943634" w:themeColor="accent2" w:themeShade="BF"/>
                <w:sz w:val="20"/>
                <w:szCs w:val="18"/>
              </w:rPr>
            </w:pPr>
            <w:hyperlink r:id="rId13" w:history="1">
              <w:r w:rsidR="003D087C" w:rsidRPr="00AA5E92">
                <w:rPr>
                  <w:rStyle w:val="Hyperlink"/>
                  <w:sz w:val="20"/>
                  <w:szCs w:val="18"/>
                </w:rPr>
                <w:t>Environment Agency (2017) Financial provision for landfill</w:t>
              </w:r>
            </w:hyperlink>
          </w:p>
        </w:tc>
      </w:tr>
      <w:tr w:rsidR="003D087C" w:rsidRPr="00AA5E92" w:rsidTr="00B348D5">
        <w:tc>
          <w:tcPr>
            <w:tcW w:w="1242" w:type="dxa"/>
          </w:tcPr>
          <w:p w:rsidR="003D087C" w:rsidRPr="00336B83" w:rsidRDefault="003D087C" w:rsidP="003D087C">
            <w:pPr>
              <w:spacing w:after="120"/>
              <w:rPr>
                <w:sz w:val="20"/>
                <w:szCs w:val="18"/>
              </w:rPr>
            </w:pPr>
            <w:r w:rsidRPr="00336B83">
              <w:rPr>
                <w:sz w:val="20"/>
                <w:szCs w:val="18"/>
              </w:rPr>
              <w:t>15</w:t>
            </w:r>
          </w:p>
        </w:tc>
        <w:tc>
          <w:tcPr>
            <w:tcW w:w="3261" w:type="dxa"/>
          </w:tcPr>
          <w:p w:rsidR="003D087C" w:rsidRPr="00AA5E92" w:rsidRDefault="00B80785" w:rsidP="003D087C">
            <w:pPr>
              <w:rPr>
                <w:color w:val="943634" w:themeColor="accent2" w:themeShade="BF"/>
                <w:sz w:val="20"/>
                <w:szCs w:val="18"/>
              </w:rPr>
            </w:pPr>
            <w:hyperlink r:id="rId14" w:history="1">
              <w:r w:rsidR="003D087C" w:rsidRPr="00AA5E92">
                <w:rPr>
                  <w:rStyle w:val="Hyperlink"/>
                  <w:sz w:val="20"/>
                  <w:szCs w:val="18"/>
                </w:rPr>
                <w:t>Natural Resources Wales (2014) LFD1 Understanding the Landfill Directive</w:t>
              </w:r>
            </w:hyperlink>
            <w:r w:rsidR="003D087C" w:rsidRPr="00AA5E92">
              <w:rPr>
                <w:color w:val="7030A0"/>
                <w:sz w:val="20"/>
                <w:szCs w:val="18"/>
              </w:rPr>
              <w:t xml:space="preserve"> </w:t>
            </w:r>
          </w:p>
        </w:tc>
      </w:tr>
      <w:tr w:rsidR="003D087C" w:rsidRPr="00AA5E92" w:rsidTr="00B348D5">
        <w:tc>
          <w:tcPr>
            <w:tcW w:w="1242" w:type="dxa"/>
          </w:tcPr>
          <w:p w:rsidR="003D087C" w:rsidRPr="00336B83" w:rsidRDefault="003D087C" w:rsidP="003D087C">
            <w:pPr>
              <w:spacing w:after="120"/>
              <w:rPr>
                <w:sz w:val="20"/>
                <w:szCs w:val="18"/>
              </w:rPr>
            </w:pPr>
            <w:r w:rsidRPr="00336B83">
              <w:rPr>
                <w:sz w:val="20"/>
                <w:szCs w:val="18"/>
              </w:rPr>
              <w:t>15</w:t>
            </w:r>
          </w:p>
        </w:tc>
        <w:tc>
          <w:tcPr>
            <w:tcW w:w="3261" w:type="dxa"/>
          </w:tcPr>
          <w:p w:rsidR="003D087C" w:rsidRPr="00AA5E92" w:rsidRDefault="00B80785" w:rsidP="003D087C">
            <w:pPr>
              <w:rPr>
                <w:color w:val="943634" w:themeColor="accent2" w:themeShade="BF"/>
                <w:sz w:val="20"/>
                <w:szCs w:val="18"/>
              </w:rPr>
            </w:pPr>
            <w:hyperlink r:id="rId15" w:history="1">
              <w:r w:rsidR="003D087C" w:rsidRPr="00AA5E92">
                <w:rPr>
                  <w:rStyle w:val="Hyperlink"/>
                  <w:sz w:val="20"/>
                  <w:szCs w:val="18"/>
                </w:rPr>
                <w:t>WAMITAB (2018) CIWM/WAMITAB Operator Competence Scheme</w:t>
              </w:r>
            </w:hyperlink>
          </w:p>
        </w:tc>
      </w:tr>
      <w:tr w:rsidR="003D087C" w:rsidRPr="00AA5E92" w:rsidTr="00B348D5">
        <w:tc>
          <w:tcPr>
            <w:tcW w:w="1242" w:type="dxa"/>
          </w:tcPr>
          <w:p w:rsidR="003D087C" w:rsidRPr="00336B83" w:rsidRDefault="003D087C" w:rsidP="003D087C">
            <w:pPr>
              <w:spacing w:after="120"/>
              <w:rPr>
                <w:sz w:val="20"/>
                <w:szCs w:val="18"/>
              </w:rPr>
            </w:pPr>
            <w:r w:rsidRPr="00336B83">
              <w:rPr>
                <w:sz w:val="20"/>
                <w:szCs w:val="18"/>
              </w:rPr>
              <w:t>18</w:t>
            </w:r>
          </w:p>
        </w:tc>
        <w:tc>
          <w:tcPr>
            <w:tcW w:w="3261" w:type="dxa"/>
          </w:tcPr>
          <w:p w:rsidR="003D087C" w:rsidRPr="00AA5E92" w:rsidRDefault="00B80785" w:rsidP="003D087C">
            <w:pPr>
              <w:rPr>
                <w:sz w:val="20"/>
                <w:szCs w:val="18"/>
              </w:rPr>
            </w:pPr>
            <w:hyperlink r:id="rId16" w:history="1">
              <w:r w:rsidR="003D087C" w:rsidRPr="00AA5E92">
                <w:rPr>
                  <w:rStyle w:val="Hyperlink"/>
                  <w:sz w:val="20"/>
                  <w:szCs w:val="18"/>
                </w:rPr>
                <w:t xml:space="preserve">Environment Agency (2014) Using </w:t>
              </w:r>
              <w:proofErr w:type="spellStart"/>
              <w:r w:rsidR="003D087C" w:rsidRPr="00AA5E92">
                <w:rPr>
                  <w:rStyle w:val="Hyperlink"/>
                  <w:sz w:val="20"/>
                  <w:szCs w:val="18"/>
                </w:rPr>
                <w:t>Geomembranes</w:t>
              </w:r>
              <w:proofErr w:type="spellEnd"/>
              <w:r w:rsidR="003D087C" w:rsidRPr="00AA5E92">
                <w:rPr>
                  <w:rStyle w:val="Hyperlink"/>
                  <w:sz w:val="20"/>
                  <w:szCs w:val="18"/>
                </w:rPr>
                <w:t xml:space="preserve"> in landfill engineering</w:t>
              </w:r>
            </w:hyperlink>
            <w:r w:rsidR="003D087C" w:rsidRPr="00AA5E92">
              <w:rPr>
                <w:color w:val="7030A0"/>
                <w:sz w:val="20"/>
                <w:szCs w:val="18"/>
              </w:rPr>
              <w:t xml:space="preserve"> </w:t>
            </w:r>
          </w:p>
        </w:tc>
      </w:tr>
      <w:tr w:rsidR="003D087C" w:rsidRPr="00AA5E92" w:rsidTr="00B348D5">
        <w:tc>
          <w:tcPr>
            <w:tcW w:w="1242" w:type="dxa"/>
          </w:tcPr>
          <w:p w:rsidR="003D087C" w:rsidRPr="00336B83" w:rsidRDefault="003D087C" w:rsidP="003D087C">
            <w:pPr>
              <w:spacing w:after="120"/>
              <w:rPr>
                <w:sz w:val="20"/>
                <w:szCs w:val="18"/>
              </w:rPr>
            </w:pPr>
            <w:r w:rsidRPr="00336B83">
              <w:rPr>
                <w:sz w:val="20"/>
                <w:szCs w:val="18"/>
              </w:rPr>
              <w:t>22,23</w:t>
            </w:r>
          </w:p>
        </w:tc>
        <w:tc>
          <w:tcPr>
            <w:tcW w:w="3261" w:type="dxa"/>
          </w:tcPr>
          <w:p w:rsidR="003D087C" w:rsidRPr="00AA5E92" w:rsidRDefault="00B80785" w:rsidP="003D087C">
            <w:pPr>
              <w:rPr>
                <w:color w:val="0000FF"/>
                <w:sz w:val="20"/>
                <w:szCs w:val="18"/>
                <w:u w:val="single"/>
              </w:rPr>
            </w:pPr>
            <w:hyperlink r:id="rId17" w:history="1">
              <w:r w:rsidR="003D087C" w:rsidRPr="00AA5E92">
                <w:rPr>
                  <w:rStyle w:val="Hyperlink"/>
                  <w:sz w:val="20"/>
                  <w:szCs w:val="18"/>
                </w:rPr>
                <w:t>Environment Agency (2010) Waste acceptance at landfills</w:t>
              </w:r>
            </w:hyperlink>
            <w:r w:rsidR="003D087C" w:rsidRPr="00AA5E92">
              <w:rPr>
                <w:color w:val="7030A0"/>
                <w:sz w:val="20"/>
                <w:szCs w:val="18"/>
              </w:rPr>
              <w:t xml:space="preserve"> </w:t>
            </w:r>
          </w:p>
        </w:tc>
      </w:tr>
      <w:tr w:rsidR="003D087C" w:rsidRPr="00AA5E92" w:rsidTr="00B348D5">
        <w:tc>
          <w:tcPr>
            <w:tcW w:w="1242" w:type="dxa"/>
          </w:tcPr>
          <w:p w:rsidR="003D087C" w:rsidRPr="00336B83" w:rsidRDefault="003D087C" w:rsidP="003D087C">
            <w:pPr>
              <w:spacing w:after="120"/>
              <w:rPr>
                <w:sz w:val="20"/>
                <w:szCs w:val="18"/>
              </w:rPr>
            </w:pPr>
            <w:r w:rsidRPr="00336B83">
              <w:rPr>
                <w:sz w:val="20"/>
                <w:szCs w:val="18"/>
              </w:rPr>
              <w:t>22,37</w:t>
            </w:r>
          </w:p>
        </w:tc>
        <w:tc>
          <w:tcPr>
            <w:tcW w:w="3261" w:type="dxa"/>
          </w:tcPr>
          <w:p w:rsidR="003D087C" w:rsidRPr="00AA5E92" w:rsidRDefault="00B80785" w:rsidP="003D087C">
            <w:pPr>
              <w:rPr>
                <w:sz w:val="20"/>
                <w:szCs w:val="18"/>
              </w:rPr>
            </w:pPr>
            <w:hyperlink r:id="rId18" w:history="1">
              <w:r w:rsidR="003D087C" w:rsidRPr="00AA5E92">
                <w:rPr>
                  <w:rStyle w:val="Hyperlink"/>
                  <w:sz w:val="20"/>
                  <w:szCs w:val="18"/>
                </w:rPr>
                <w:t>Environmental Permitting Regulations: Inert Waste Guidance</w:t>
              </w:r>
            </w:hyperlink>
          </w:p>
        </w:tc>
      </w:tr>
      <w:tr w:rsidR="003D087C" w:rsidRPr="00AA5E92" w:rsidTr="00B348D5">
        <w:tc>
          <w:tcPr>
            <w:tcW w:w="1242" w:type="dxa"/>
          </w:tcPr>
          <w:p w:rsidR="003D087C" w:rsidRPr="00336B83" w:rsidRDefault="003D087C" w:rsidP="003D087C">
            <w:pPr>
              <w:spacing w:after="120"/>
              <w:rPr>
                <w:sz w:val="20"/>
                <w:szCs w:val="18"/>
              </w:rPr>
            </w:pPr>
            <w:r w:rsidRPr="00336B83">
              <w:rPr>
                <w:sz w:val="20"/>
                <w:szCs w:val="18"/>
              </w:rPr>
              <w:t>32,36,40</w:t>
            </w:r>
          </w:p>
        </w:tc>
        <w:tc>
          <w:tcPr>
            <w:tcW w:w="3261" w:type="dxa"/>
          </w:tcPr>
          <w:p w:rsidR="003D087C" w:rsidRPr="00AA5E92" w:rsidRDefault="00B80785" w:rsidP="003D087C">
            <w:pPr>
              <w:rPr>
                <w:sz w:val="20"/>
                <w:szCs w:val="18"/>
              </w:rPr>
            </w:pPr>
            <w:hyperlink r:id="rId19" w:history="1">
              <w:r w:rsidR="003D087C" w:rsidRPr="00AA5E92">
                <w:rPr>
                  <w:rStyle w:val="Hyperlink"/>
                  <w:sz w:val="20"/>
                  <w:szCs w:val="18"/>
                </w:rPr>
                <w:t>Environment Agency (2014) Guidance on monitoring landfill leachate, groundwater and surface water</w:t>
              </w:r>
            </w:hyperlink>
            <w:r w:rsidR="003D087C" w:rsidRPr="00AA5E92">
              <w:rPr>
                <w:color w:val="7030A0"/>
                <w:sz w:val="20"/>
                <w:szCs w:val="18"/>
              </w:rPr>
              <w:t xml:space="preserve"> </w:t>
            </w:r>
          </w:p>
        </w:tc>
      </w:tr>
      <w:tr w:rsidR="003D087C" w:rsidRPr="00AA5E92" w:rsidTr="00B348D5">
        <w:tc>
          <w:tcPr>
            <w:tcW w:w="1242" w:type="dxa"/>
          </w:tcPr>
          <w:p w:rsidR="003D087C" w:rsidRPr="00336B83" w:rsidRDefault="003D087C" w:rsidP="003D087C">
            <w:pPr>
              <w:spacing w:after="120"/>
              <w:rPr>
                <w:sz w:val="20"/>
                <w:szCs w:val="18"/>
              </w:rPr>
            </w:pPr>
            <w:r w:rsidRPr="00336B83">
              <w:rPr>
                <w:sz w:val="20"/>
                <w:szCs w:val="18"/>
              </w:rPr>
              <w:t>21,43</w:t>
            </w:r>
          </w:p>
        </w:tc>
        <w:tc>
          <w:tcPr>
            <w:tcW w:w="3261" w:type="dxa"/>
          </w:tcPr>
          <w:p w:rsidR="003D087C" w:rsidRPr="00AA5E92" w:rsidRDefault="00B80785" w:rsidP="003D087C">
            <w:pPr>
              <w:rPr>
                <w:sz w:val="20"/>
                <w:szCs w:val="18"/>
              </w:rPr>
            </w:pPr>
            <w:hyperlink r:id="rId20" w:history="1">
              <w:r w:rsidR="003D087C" w:rsidRPr="00AA5E92">
                <w:rPr>
                  <w:rStyle w:val="Hyperlink"/>
                  <w:sz w:val="20"/>
                  <w:szCs w:val="18"/>
                </w:rPr>
                <w:t>Environment Agency (2011) Understanding the landfill directive</w:t>
              </w:r>
            </w:hyperlink>
            <w:r w:rsidR="003D087C" w:rsidRPr="00AA5E92">
              <w:rPr>
                <w:color w:val="7030A0"/>
                <w:sz w:val="20"/>
                <w:szCs w:val="18"/>
              </w:rPr>
              <w:t xml:space="preserve"> </w:t>
            </w:r>
          </w:p>
        </w:tc>
      </w:tr>
      <w:tr w:rsidR="003D087C" w:rsidRPr="00AA5E92" w:rsidTr="00B348D5">
        <w:tc>
          <w:tcPr>
            <w:tcW w:w="1242" w:type="dxa"/>
          </w:tcPr>
          <w:p w:rsidR="003D087C" w:rsidRPr="00336B83" w:rsidRDefault="003D087C" w:rsidP="003D087C">
            <w:pPr>
              <w:spacing w:after="120"/>
              <w:rPr>
                <w:sz w:val="20"/>
                <w:szCs w:val="18"/>
              </w:rPr>
            </w:pPr>
            <w:r w:rsidRPr="00336B83">
              <w:rPr>
                <w:sz w:val="20"/>
                <w:szCs w:val="18"/>
              </w:rPr>
              <w:t>21,43</w:t>
            </w:r>
          </w:p>
        </w:tc>
        <w:tc>
          <w:tcPr>
            <w:tcW w:w="3261" w:type="dxa"/>
          </w:tcPr>
          <w:p w:rsidR="003D087C" w:rsidRPr="00AA5E92" w:rsidRDefault="00B80785" w:rsidP="003D087C">
            <w:pPr>
              <w:rPr>
                <w:color w:val="943634" w:themeColor="accent2" w:themeShade="BF"/>
                <w:sz w:val="20"/>
                <w:szCs w:val="18"/>
              </w:rPr>
            </w:pPr>
            <w:hyperlink r:id="rId21" w:history="1">
              <w:r w:rsidR="003D087C" w:rsidRPr="00AA5E92">
                <w:rPr>
                  <w:rStyle w:val="Hyperlink"/>
                  <w:sz w:val="20"/>
                  <w:szCs w:val="18"/>
                </w:rPr>
                <w:t>Natural Resources Wales (2014) LFD1 Understanding the Landfill Directive</w:t>
              </w:r>
            </w:hyperlink>
            <w:r w:rsidR="003D087C" w:rsidRPr="00AA5E92">
              <w:rPr>
                <w:color w:val="7030A0"/>
                <w:sz w:val="20"/>
                <w:szCs w:val="18"/>
              </w:rPr>
              <w:t xml:space="preserve"> </w:t>
            </w:r>
          </w:p>
        </w:tc>
      </w:tr>
      <w:tr w:rsidR="003D087C" w:rsidRPr="00AA5E92" w:rsidTr="00B348D5">
        <w:tc>
          <w:tcPr>
            <w:tcW w:w="1242" w:type="dxa"/>
          </w:tcPr>
          <w:p w:rsidR="003D087C" w:rsidRPr="00336B83" w:rsidRDefault="003D087C" w:rsidP="003D087C">
            <w:pPr>
              <w:spacing w:after="120"/>
              <w:rPr>
                <w:sz w:val="20"/>
                <w:szCs w:val="18"/>
              </w:rPr>
            </w:pPr>
            <w:r w:rsidRPr="00336B83">
              <w:rPr>
                <w:sz w:val="20"/>
                <w:szCs w:val="18"/>
              </w:rPr>
              <w:t>28</w:t>
            </w:r>
          </w:p>
        </w:tc>
        <w:tc>
          <w:tcPr>
            <w:tcW w:w="3261" w:type="dxa"/>
          </w:tcPr>
          <w:p w:rsidR="003D087C" w:rsidRPr="00AA5E92" w:rsidRDefault="00B80785" w:rsidP="003D087C">
            <w:pPr>
              <w:rPr>
                <w:color w:val="943634" w:themeColor="accent2" w:themeShade="BF"/>
                <w:sz w:val="20"/>
                <w:szCs w:val="18"/>
              </w:rPr>
            </w:pPr>
            <w:hyperlink r:id="rId22" w:history="1">
              <w:r w:rsidR="003D087C" w:rsidRPr="00AA5E92">
                <w:rPr>
                  <w:rStyle w:val="Hyperlink"/>
                  <w:sz w:val="20"/>
                  <w:szCs w:val="18"/>
                </w:rPr>
                <w:t>Environment Agency (2009) Guidance on using landfill cover materials</w:t>
              </w:r>
            </w:hyperlink>
            <w:r w:rsidR="003D087C" w:rsidRPr="00AA5E92">
              <w:rPr>
                <w:color w:val="7030A0"/>
                <w:sz w:val="20"/>
                <w:szCs w:val="18"/>
              </w:rPr>
              <w:t xml:space="preserve"> </w:t>
            </w:r>
          </w:p>
        </w:tc>
      </w:tr>
      <w:tr w:rsidR="003D087C" w:rsidRPr="00AA5E92" w:rsidTr="00B348D5">
        <w:tc>
          <w:tcPr>
            <w:tcW w:w="1242" w:type="dxa"/>
          </w:tcPr>
          <w:p w:rsidR="003D087C" w:rsidRPr="00336B83" w:rsidRDefault="003D087C" w:rsidP="003D087C">
            <w:pPr>
              <w:spacing w:after="120"/>
              <w:rPr>
                <w:sz w:val="20"/>
                <w:szCs w:val="18"/>
              </w:rPr>
            </w:pPr>
            <w:r w:rsidRPr="00336B83">
              <w:rPr>
                <w:sz w:val="20"/>
                <w:szCs w:val="18"/>
              </w:rPr>
              <w:t>31</w:t>
            </w:r>
          </w:p>
        </w:tc>
        <w:tc>
          <w:tcPr>
            <w:tcW w:w="3261" w:type="dxa"/>
          </w:tcPr>
          <w:p w:rsidR="003D087C" w:rsidRPr="00AA5E92" w:rsidRDefault="00B80785" w:rsidP="003D087C">
            <w:pPr>
              <w:rPr>
                <w:color w:val="943634" w:themeColor="accent2" w:themeShade="BF"/>
                <w:sz w:val="20"/>
                <w:szCs w:val="18"/>
                <w:highlight w:val="yellow"/>
              </w:rPr>
            </w:pPr>
            <w:hyperlink r:id="rId23" w:history="1">
              <w:r w:rsidR="003D087C" w:rsidRPr="00AA5E92">
                <w:rPr>
                  <w:rStyle w:val="Hyperlink"/>
                  <w:sz w:val="20"/>
                  <w:szCs w:val="18"/>
                </w:rPr>
                <w:t>Health and Safety Executive (2019) Machinery</w:t>
              </w:r>
            </w:hyperlink>
            <w:r w:rsidR="003D087C" w:rsidRPr="00AA5E92">
              <w:rPr>
                <w:color w:val="7030A0"/>
                <w:sz w:val="20"/>
                <w:szCs w:val="18"/>
              </w:rPr>
              <w:t xml:space="preserve"> </w:t>
            </w:r>
          </w:p>
        </w:tc>
      </w:tr>
      <w:tr w:rsidR="003D087C" w:rsidRPr="00AA5E92" w:rsidTr="00B348D5">
        <w:tc>
          <w:tcPr>
            <w:tcW w:w="1242" w:type="dxa"/>
          </w:tcPr>
          <w:p w:rsidR="003D087C" w:rsidRPr="00336B83" w:rsidRDefault="003D087C" w:rsidP="003D087C">
            <w:pPr>
              <w:spacing w:after="120"/>
              <w:rPr>
                <w:sz w:val="20"/>
                <w:szCs w:val="18"/>
              </w:rPr>
            </w:pPr>
            <w:r w:rsidRPr="00336B83">
              <w:rPr>
                <w:sz w:val="20"/>
                <w:szCs w:val="18"/>
              </w:rPr>
              <w:t>31</w:t>
            </w:r>
          </w:p>
        </w:tc>
        <w:tc>
          <w:tcPr>
            <w:tcW w:w="3261" w:type="dxa"/>
          </w:tcPr>
          <w:p w:rsidR="003D087C" w:rsidRPr="00AA5E92" w:rsidRDefault="00B80785" w:rsidP="003D087C">
            <w:pPr>
              <w:rPr>
                <w:color w:val="943634" w:themeColor="accent2" w:themeShade="BF"/>
                <w:sz w:val="20"/>
                <w:szCs w:val="18"/>
                <w:highlight w:val="yellow"/>
              </w:rPr>
            </w:pPr>
            <w:hyperlink r:id="rId24" w:history="1">
              <w:r w:rsidR="003D087C" w:rsidRPr="00AA5E92">
                <w:rPr>
                  <w:rStyle w:val="Hyperlink"/>
                  <w:sz w:val="20"/>
                  <w:szCs w:val="18"/>
                </w:rPr>
                <w:t>Health and Safety Executive (2019) Inspection, maintenance and repair</w:t>
              </w:r>
            </w:hyperlink>
            <w:r w:rsidR="003D087C" w:rsidRPr="00AA5E92">
              <w:rPr>
                <w:color w:val="7030A0"/>
                <w:sz w:val="20"/>
                <w:szCs w:val="18"/>
              </w:rPr>
              <w:t xml:space="preserve"> </w:t>
            </w:r>
          </w:p>
        </w:tc>
      </w:tr>
      <w:tr w:rsidR="003D087C" w:rsidRPr="00AA5E92" w:rsidTr="00B348D5">
        <w:tc>
          <w:tcPr>
            <w:tcW w:w="1242" w:type="dxa"/>
          </w:tcPr>
          <w:p w:rsidR="003D087C" w:rsidRPr="00336B83" w:rsidRDefault="003D087C" w:rsidP="003D087C">
            <w:pPr>
              <w:spacing w:after="120"/>
              <w:rPr>
                <w:sz w:val="20"/>
                <w:szCs w:val="18"/>
              </w:rPr>
            </w:pPr>
            <w:r w:rsidRPr="00336B83">
              <w:rPr>
                <w:sz w:val="20"/>
                <w:szCs w:val="18"/>
              </w:rPr>
              <w:t>37</w:t>
            </w:r>
          </w:p>
        </w:tc>
        <w:tc>
          <w:tcPr>
            <w:tcW w:w="3261" w:type="dxa"/>
          </w:tcPr>
          <w:p w:rsidR="003D087C" w:rsidRPr="00AA5E92" w:rsidRDefault="00B80785" w:rsidP="003D087C">
            <w:pPr>
              <w:rPr>
                <w:color w:val="943634" w:themeColor="accent2" w:themeShade="BF"/>
                <w:sz w:val="20"/>
                <w:szCs w:val="18"/>
              </w:rPr>
            </w:pPr>
            <w:hyperlink r:id="rId25" w:history="1">
              <w:r w:rsidR="003D087C" w:rsidRPr="00AA5E92">
                <w:rPr>
                  <w:rStyle w:val="Hyperlink"/>
                  <w:sz w:val="20"/>
                  <w:szCs w:val="18"/>
                </w:rPr>
                <w:t>Environment Agency (2004) Guidance on the management of landfill gas</w:t>
              </w:r>
            </w:hyperlink>
            <w:r w:rsidR="003D087C" w:rsidRPr="00AA5E92">
              <w:rPr>
                <w:color w:val="7030A0"/>
                <w:sz w:val="20"/>
                <w:szCs w:val="18"/>
              </w:rPr>
              <w:t xml:space="preserve"> </w:t>
            </w:r>
          </w:p>
        </w:tc>
      </w:tr>
      <w:tr w:rsidR="003D087C" w:rsidRPr="00AA5E92" w:rsidTr="00B348D5">
        <w:tc>
          <w:tcPr>
            <w:tcW w:w="1242" w:type="dxa"/>
          </w:tcPr>
          <w:p w:rsidR="003D087C" w:rsidRPr="00336B83" w:rsidRDefault="003D087C" w:rsidP="003D087C">
            <w:pPr>
              <w:spacing w:after="120"/>
              <w:rPr>
                <w:sz w:val="20"/>
                <w:szCs w:val="18"/>
              </w:rPr>
            </w:pPr>
            <w:r w:rsidRPr="00336B83">
              <w:rPr>
                <w:sz w:val="20"/>
                <w:szCs w:val="18"/>
              </w:rPr>
              <w:t>40</w:t>
            </w:r>
          </w:p>
        </w:tc>
        <w:tc>
          <w:tcPr>
            <w:tcW w:w="3261" w:type="dxa"/>
          </w:tcPr>
          <w:p w:rsidR="003D087C" w:rsidRPr="00AA5E92" w:rsidRDefault="00B80785" w:rsidP="003D087C">
            <w:pPr>
              <w:rPr>
                <w:color w:val="943634" w:themeColor="accent2" w:themeShade="BF"/>
                <w:sz w:val="20"/>
                <w:szCs w:val="18"/>
              </w:rPr>
            </w:pPr>
            <w:hyperlink r:id="rId26" w:history="1">
              <w:r w:rsidR="003D087C" w:rsidRPr="00AA5E92">
                <w:rPr>
                  <w:rStyle w:val="Hyperlink"/>
                  <w:sz w:val="20"/>
                  <w:szCs w:val="18"/>
                </w:rPr>
                <w:t>Environment Agency (2018) National operator waste returns</w:t>
              </w:r>
            </w:hyperlink>
          </w:p>
        </w:tc>
      </w:tr>
      <w:tr w:rsidR="003D087C" w:rsidRPr="00AA5E92" w:rsidTr="00B348D5">
        <w:tc>
          <w:tcPr>
            <w:tcW w:w="1242" w:type="dxa"/>
          </w:tcPr>
          <w:p w:rsidR="003D087C" w:rsidRPr="00336B83" w:rsidRDefault="003D087C" w:rsidP="003D087C">
            <w:pPr>
              <w:spacing w:after="120"/>
              <w:rPr>
                <w:sz w:val="20"/>
                <w:szCs w:val="18"/>
              </w:rPr>
            </w:pPr>
            <w:r w:rsidRPr="00336B83">
              <w:rPr>
                <w:sz w:val="20"/>
                <w:szCs w:val="18"/>
              </w:rPr>
              <w:t>40</w:t>
            </w:r>
          </w:p>
        </w:tc>
        <w:tc>
          <w:tcPr>
            <w:tcW w:w="3261" w:type="dxa"/>
          </w:tcPr>
          <w:p w:rsidR="003D087C" w:rsidRPr="00AA5E92" w:rsidRDefault="00B80785" w:rsidP="003D087C">
            <w:pPr>
              <w:rPr>
                <w:color w:val="943634" w:themeColor="accent2" w:themeShade="BF"/>
                <w:sz w:val="20"/>
                <w:szCs w:val="18"/>
              </w:rPr>
            </w:pPr>
            <w:hyperlink r:id="rId27" w:history="1">
              <w:r w:rsidR="003D087C" w:rsidRPr="00AA5E92">
                <w:rPr>
                  <w:rStyle w:val="Hyperlink"/>
                  <w:sz w:val="20"/>
                  <w:szCs w:val="18"/>
                </w:rPr>
                <w:t>GOV.UK (2019) Hazardous Waste</w:t>
              </w:r>
            </w:hyperlink>
            <w:r w:rsidR="003D087C" w:rsidRPr="00AA5E92">
              <w:rPr>
                <w:sz w:val="20"/>
                <w:szCs w:val="18"/>
              </w:rPr>
              <w:t xml:space="preserve"> </w:t>
            </w:r>
          </w:p>
        </w:tc>
      </w:tr>
    </w:tbl>
    <w:p w:rsidR="00A674E5" w:rsidRDefault="00C02BF3" w:rsidP="00C02BF3">
      <w:pPr>
        <w:spacing w:before="240"/>
        <w:rPr>
          <w:i/>
        </w:rPr>
      </w:pPr>
      <w:r w:rsidRPr="00C02BF3">
        <w:rPr>
          <w:b/>
          <w:i/>
        </w:rPr>
        <w:t>Please note:</w:t>
      </w:r>
      <w:r w:rsidRPr="00C02BF3">
        <w:rPr>
          <w:i/>
        </w:rPr>
        <w:t xml:space="preserve"> this information was correct at the time of publishing. If you find these links are broken, type the document title into a search engine</w:t>
      </w:r>
      <w:r>
        <w:rPr>
          <w:i/>
        </w:rPr>
        <w:t>.</w:t>
      </w:r>
    </w:p>
    <w:p w:rsidR="00A6136C" w:rsidRDefault="00A6136C" w:rsidP="00A6136C">
      <w:pPr>
        <w:spacing w:before="240" w:after="0"/>
        <w:rPr>
          <w:i/>
        </w:rPr>
      </w:pPr>
    </w:p>
    <w:p w:rsidR="00336B83" w:rsidRDefault="00336B83" w:rsidP="00A6136C">
      <w:pPr>
        <w:spacing w:before="240" w:after="0"/>
        <w:rPr>
          <w:i/>
        </w:rPr>
      </w:pPr>
    </w:p>
    <w:tbl>
      <w:tblPr>
        <w:tblStyle w:val="TableGrid"/>
        <w:tblW w:w="0" w:type="auto"/>
        <w:tblLook w:val="04A0" w:firstRow="1" w:lastRow="0" w:firstColumn="1" w:lastColumn="0" w:noHBand="0" w:noVBand="1"/>
      </w:tblPr>
      <w:tblGrid>
        <w:gridCol w:w="4375"/>
      </w:tblGrid>
      <w:tr w:rsidR="00A6136C" w:rsidTr="00A6136C">
        <w:tc>
          <w:tcPr>
            <w:tcW w:w="4375" w:type="dxa"/>
            <w:tcBorders>
              <w:top w:val="single" w:sz="4" w:space="0" w:color="7030A0"/>
              <w:left w:val="single" w:sz="4" w:space="0" w:color="7030A0"/>
              <w:bottom w:val="single" w:sz="4" w:space="0" w:color="7030A0"/>
              <w:right w:val="single" w:sz="4" w:space="0" w:color="7030A0"/>
            </w:tcBorders>
            <w:shd w:val="clear" w:color="auto" w:fill="E5DFEC" w:themeFill="accent4" w:themeFillTint="33"/>
          </w:tcPr>
          <w:p w:rsidR="00A6136C" w:rsidRDefault="00A6136C" w:rsidP="00A6136C">
            <w:pPr>
              <w:rPr>
                <w:b/>
              </w:rPr>
            </w:pPr>
          </w:p>
          <w:p w:rsidR="00A6136C" w:rsidRDefault="00A6136C" w:rsidP="00A6136C">
            <w:pPr>
              <w:rPr>
                <w:b/>
              </w:rPr>
            </w:pPr>
            <w:r>
              <w:rPr>
                <w:b/>
              </w:rPr>
              <w:t>About this sheet</w:t>
            </w:r>
          </w:p>
          <w:p w:rsidR="00A6136C" w:rsidRDefault="00A6136C" w:rsidP="00A6136C">
            <w:pPr>
              <w:spacing w:before="240"/>
              <w:rPr>
                <w:i/>
              </w:rPr>
            </w:pPr>
            <w:r w:rsidRPr="00AA6976">
              <w:rPr>
                <w:i/>
              </w:rPr>
              <w:t xml:space="preserve">The Continuing Competence Free Update Sheet is designed to be used by purchasers of the Continuing Competence Revision Guides for the 2016-2018 period. </w:t>
            </w:r>
          </w:p>
          <w:p w:rsidR="00A6136C" w:rsidRPr="00AA6976" w:rsidRDefault="00A6136C" w:rsidP="00A6136C">
            <w:pPr>
              <w:rPr>
                <w:i/>
              </w:rPr>
            </w:pPr>
          </w:p>
          <w:p w:rsidR="00A6136C" w:rsidRPr="00AA6976" w:rsidRDefault="00A6136C" w:rsidP="00A6136C">
            <w:pPr>
              <w:rPr>
                <w:i/>
              </w:rPr>
            </w:pPr>
            <w:r w:rsidRPr="00AA6976">
              <w:rPr>
                <w:i/>
              </w:rPr>
              <w:t>It will highlight any changes in technical guidance and sources used as a basis for the Continuing Competence question bank to support the revision of users.</w:t>
            </w:r>
          </w:p>
          <w:p w:rsidR="00A6136C" w:rsidRDefault="00A6136C" w:rsidP="00A6136C">
            <w:pPr>
              <w:rPr>
                <w:i/>
              </w:rPr>
            </w:pPr>
          </w:p>
        </w:tc>
      </w:tr>
    </w:tbl>
    <w:p w:rsidR="00A6136C" w:rsidRDefault="00A6136C" w:rsidP="003F6D66">
      <w:pPr>
        <w:spacing w:after="0"/>
        <w:rPr>
          <w:b/>
        </w:rPr>
      </w:pPr>
    </w:p>
    <w:p w:rsidR="00A6136C" w:rsidRDefault="00A6136C" w:rsidP="00A6136C">
      <w:pPr>
        <w:rPr>
          <w:b/>
        </w:rPr>
      </w:pPr>
      <w:r>
        <w:rPr>
          <w:b/>
        </w:rPr>
        <w:t>Frequently Asked Questions (FAQs)</w:t>
      </w:r>
    </w:p>
    <w:p w:rsidR="00A6136C" w:rsidRPr="00F02619" w:rsidRDefault="00A6136C" w:rsidP="00A6136C">
      <w:pPr>
        <w:rPr>
          <w:i/>
          <w:color w:val="7030A0"/>
        </w:rPr>
      </w:pPr>
      <w:r w:rsidRPr="00F02619">
        <w:rPr>
          <w:i/>
          <w:color w:val="7030A0"/>
        </w:rPr>
        <w:t>How much does the test cost?</w:t>
      </w:r>
    </w:p>
    <w:p w:rsidR="00A6136C" w:rsidRDefault="00A6136C" w:rsidP="00A6136C">
      <w:r>
        <w:t xml:space="preserve">Each test costs </w:t>
      </w:r>
      <w:r w:rsidRPr="00964157">
        <w:rPr>
          <w:b/>
          <w:u w:val="single"/>
        </w:rPr>
        <w:t>£139</w:t>
      </w:r>
      <w:r>
        <w:t xml:space="preserve"> irrespective of the number of Activity Specific Tests chosen (a maximum of three activity specific tests can be taken at one time).</w:t>
      </w:r>
    </w:p>
    <w:p w:rsidR="00A6136C" w:rsidRPr="00F02619" w:rsidRDefault="00A6136C" w:rsidP="00A6136C">
      <w:pPr>
        <w:rPr>
          <w:i/>
          <w:color w:val="7030A0"/>
        </w:rPr>
      </w:pPr>
      <w:r w:rsidRPr="00F02619">
        <w:rPr>
          <w:i/>
          <w:color w:val="7030A0"/>
        </w:rPr>
        <w:t>What form of personal identification can I use at the test centre?</w:t>
      </w:r>
    </w:p>
    <w:p w:rsidR="00A6136C" w:rsidRDefault="00A6136C" w:rsidP="00A6136C">
      <w:pPr>
        <w:pStyle w:val="ListParagraph"/>
        <w:numPr>
          <w:ilvl w:val="0"/>
          <w:numId w:val="1"/>
        </w:numPr>
      </w:pPr>
      <w:r>
        <w:t>A valid signed passport of any country with your photograph and signature.</w:t>
      </w:r>
    </w:p>
    <w:p w:rsidR="00A6136C" w:rsidRDefault="00A6136C" w:rsidP="00A6136C">
      <w:pPr>
        <w:pStyle w:val="ListParagraph"/>
        <w:numPr>
          <w:ilvl w:val="0"/>
          <w:numId w:val="1"/>
        </w:numPr>
      </w:pPr>
      <w:r>
        <w:t>A valid signed UK photo card driving licence (full or provisional).</w:t>
      </w:r>
    </w:p>
    <w:p w:rsidR="00A6136C" w:rsidRPr="008A2290" w:rsidRDefault="00A6136C" w:rsidP="00A6136C">
      <w:pPr>
        <w:pStyle w:val="ListParagraph"/>
        <w:numPr>
          <w:ilvl w:val="0"/>
          <w:numId w:val="1"/>
        </w:numPr>
      </w:pPr>
      <w:r>
        <w:t>If you have none of these, you may present a Citizen’s ID Card.</w:t>
      </w:r>
      <w:r w:rsidR="00A352DD" w:rsidRPr="00A352DD">
        <w:rPr>
          <w:noProof/>
          <w:lang w:eastAsia="en-GB"/>
        </w:rPr>
        <w:t xml:space="preserve"> </w:t>
      </w:r>
    </w:p>
    <w:p w:rsidR="00A6136C" w:rsidRDefault="00A6136C" w:rsidP="00A6136C">
      <w:pPr>
        <w:rPr>
          <w:i/>
          <w:color w:val="7030A0"/>
        </w:rPr>
      </w:pPr>
      <w:r>
        <w:rPr>
          <w:i/>
          <w:color w:val="7030A0"/>
        </w:rPr>
        <w:t>How can I find out if I have passed the test?</w:t>
      </w:r>
    </w:p>
    <w:p w:rsidR="003F6D66" w:rsidRDefault="00A6136C" w:rsidP="00286918">
      <w:r>
        <w:t xml:space="preserve">At the end of the test you will receive your score report which provides the scores for each component of the Generic Knowledge Test and the score for each Activity Specific Test you have taken. </w:t>
      </w:r>
    </w:p>
    <w:p w:rsidR="00A6136C" w:rsidRPr="00AB5205" w:rsidRDefault="003F6D66" w:rsidP="00286918">
      <w:r>
        <w:t>T</w:t>
      </w:r>
      <w:r w:rsidR="00A6136C">
        <w:t xml:space="preserve">here is an example on the back of your score report showing how to work out if you’ve passed. Alternatively, you can go to </w:t>
      </w:r>
      <w:hyperlink r:id="rId28" w:history="1">
        <w:r w:rsidR="00A6136C" w:rsidRPr="00902207">
          <w:rPr>
            <w:rStyle w:val="Hyperlink"/>
          </w:rPr>
          <w:t>https://wamitab.org.uk/competence/continuing-competence/test-score-calculator/</w:t>
        </w:r>
      </w:hyperlink>
      <w:r w:rsidR="00A6136C">
        <w:t xml:space="preserve"> and type in your scores.</w:t>
      </w:r>
    </w:p>
    <w:sectPr w:rsidR="00A6136C" w:rsidRPr="00AB5205" w:rsidSect="00A674E5">
      <w:pgSz w:w="11906" w:h="16838"/>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087C" w:rsidRDefault="003D087C" w:rsidP="00033393">
      <w:pPr>
        <w:spacing w:after="0" w:line="240" w:lineRule="auto"/>
      </w:pPr>
      <w:r>
        <w:separator/>
      </w:r>
    </w:p>
  </w:endnote>
  <w:endnote w:type="continuationSeparator" w:id="0">
    <w:p w:rsidR="003D087C" w:rsidRDefault="003D087C" w:rsidP="000333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0770377"/>
      <w:docPartObj>
        <w:docPartGallery w:val="Page Numbers (Bottom of Page)"/>
        <w:docPartUnique/>
      </w:docPartObj>
    </w:sdtPr>
    <w:sdtEndPr/>
    <w:sdtContent>
      <w:sdt>
        <w:sdtPr>
          <w:id w:val="-1011378125"/>
          <w:docPartObj>
            <w:docPartGallery w:val="Page Numbers (Top of Page)"/>
            <w:docPartUnique/>
          </w:docPartObj>
        </w:sdtPr>
        <w:sdtEndPr/>
        <w:sdtContent>
          <w:p w:rsidR="003D087C" w:rsidRDefault="003D087C" w:rsidP="00FB3587">
            <w:pPr>
              <w:spacing w:after="0"/>
            </w:pPr>
            <w:r>
              <w:rPr>
                <w:noProof/>
                <w:lang w:eastAsia="en-GB"/>
              </w:rPr>
              <mc:AlternateContent>
                <mc:Choice Requires="wps">
                  <w:drawing>
                    <wp:anchor distT="0" distB="0" distL="114300" distR="114300" simplePos="0" relativeHeight="251661312" behindDoc="0" locked="0" layoutInCell="1" allowOverlap="1" wp14:anchorId="3708213B" wp14:editId="4DEFB504">
                      <wp:simplePos x="0" y="0"/>
                      <wp:positionH relativeFrom="column">
                        <wp:posOffset>-912495</wp:posOffset>
                      </wp:positionH>
                      <wp:positionV relativeFrom="paragraph">
                        <wp:posOffset>-271051</wp:posOffset>
                      </wp:positionV>
                      <wp:extent cx="7560310" cy="135890"/>
                      <wp:effectExtent l="0" t="0" r="21590" b="16510"/>
                      <wp:wrapNone/>
                      <wp:docPr id="2" name="Rectangle 2"/>
                      <wp:cNvGraphicFramePr/>
                      <a:graphic xmlns:a="http://schemas.openxmlformats.org/drawingml/2006/main">
                        <a:graphicData uri="http://schemas.microsoft.com/office/word/2010/wordprocessingShape">
                          <wps:wsp>
                            <wps:cNvSpPr/>
                            <wps:spPr>
                              <a:xfrm>
                                <a:off x="0" y="0"/>
                                <a:ext cx="7560310" cy="135890"/>
                              </a:xfrm>
                              <a:prstGeom prst="rect">
                                <a:avLst/>
                              </a:prstGeom>
                              <a:solidFill>
                                <a:srgbClr val="7030A0"/>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71.85pt;margin-top:-21.35pt;width:595.3pt;height:10.7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rhGkwIAAK4FAAAOAAAAZHJzL2Uyb0RvYy54bWysVN9P4zAMfj/p/oco70fbwfgx0aEJxOkk&#10;BAg48ZylyVopjXNOtm7315+TdoUDdA/o9pDFsf3Z/mr7/GLbGrZR6BuwJS8Ocs6UlVA1dlXyn0/X&#10;304580HYShiwquQ75fnF/OuX887N1ARqMJVCRiDWzzpX8joEN8syL2vVCn8ATllSasBWBBJxlVUo&#10;OkJvTTbJ8+OsA6wcglTe0+tVr+TzhK+1kuFOa68CMyWn3EI6MZ3LeGbzczFboXB1I4c0xCeyaEVj&#10;KegIdSWCYGts3kG1jUTwoMOBhDYDrRupUg1UTZG/qeaxFk6lWogc70aa/P+Dlbebe2RNVfIJZ1a0&#10;9IkeiDRhV0axSaSnc35GVo/uHgfJ0zXWutXYxn+qgm0TpbuRUrUNTNLjyfQ4PyyIeUm64nB6epY4&#10;z168HfrwXUHL4qXkSNETk2Jz4wNFJNO9SQzmwTTVdWNMEnC1vDTINoI+70l+mC/26H+ZGfs5Twod&#10;XbNIQV90uoWdURHQ2AeliTsqc5JSTl2rxoSElMqGolfVolJ9ntOcfpFZgh89kpQAI7Km+kbsASBO&#10;xHvsHmawj64qNf3onP8rsd559EiRwYbRuW0s4EcAhqoaIvf2e5J6aiJLS6h21FkI/ch5J68b+sA3&#10;wod7gTRj1BO0N8IdHdpAV3IYbpzVgL8/eo/21Pqk5ayjmS25/7UWqDgzPywNxVlxdBSHPAlH05MJ&#10;Cfhas3ytsev2EqhvCtpQTqZrtA9mf9UI7TOtl0WMSiphJcUuuQy4Fy5Dv0toQUm1WCQzGmwnwo19&#10;dDKCR1ZjAz9tnwW6ocsDzcct7OdbzN40e28bPS0s1gF0kybhhdeBb1oKqXGGBRa3zms5Wb2s2fkf&#10;AAAA//8DAFBLAwQUAAYACAAAACEAO5nOGOAAAAANAQAADwAAAGRycy9kb3ducmV2LnhtbEyPzU7D&#10;MBCE70i8g7VI3Fo7P2ppiFMhRC+9IFIewI2XJEpsR7HbOm/P9gS32Z3R7LflPpqRXXH2vbMSkrUA&#10;hrZxurethO/TYfUCzAdltRqdRQkLethXjw+lKrS72S+81qFlVGJ9oSR0IUwF577p0Ci/dhNa8n7c&#10;bFSgcW65ntWNys3IUyE23Kje0oVOTfjeYTPUFyNBHI5mu3wexZTVw5IMfRQfuyjl81N8ewUWMIa/&#10;MNzxCR0qYjq7i9WejRJWSZ5tKUsqT0ncIyLf7ICdaZUmGfCq5P+/qH4BAAD//wMAUEsBAi0AFAAG&#10;AAgAAAAhALaDOJL+AAAA4QEAABMAAAAAAAAAAAAAAAAAAAAAAFtDb250ZW50X1R5cGVzXS54bWxQ&#10;SwECLQAUAAYACAAAACEAOP0h/9YAAACUAQAACwAAAAAAAAAAAAAAAAAvAQAAX3JlbHMvLnJlbHNQ&#10;SwECLQAUAAYACAAAACEAzXq4RpMCAACuBQAADgAAAAAAAAAAAAAAAAAuAgAAZHJzL2Uyb0RvYy54&#10;bWxQSwECLQAUAAYACAAAACEAO5nOGOAAAAANAQAADwAAAAAAAAAAAAAAAADtBAAAZHJzL2Rvd25y&#10;ZXYueG1sUEsFBgAAAAAEAAQA8wAAAPoFAAAAAA==&#10;" fillcolor="#7030a0" strokecolor="#7030a0" strokeweight="2pt"/>
                  </w:pict>
                </mc:Fallback>
              </mc:AlternateContent>
            </w:r>
            <w:r w:rsidRPr="00FB3587">
              <w:t xml:space="preserve"> </w:t>
            </w:r>
            <w:sdt>
              <w:sdtPr>
                <w:id w:val="106205202"/>
                <w:docPartObj>
                  <w:docPartGallery w:val="Page Numbers (Bottom of Page)"/>
                  <w:docPartUnique/>
                </w:docPartObj>
              </w:sdtPr>
              <w:sdtEndPr/>
              <w:sdtContent>
                <w:sdt>
                  <w:sdtPr>
                    <w:id w:val="565050523"/>
                    <w:docPartObj>
                      <w:docPartGallery w:val="Page Numbers (Top of Page)"/>
                      <w:docPartUnique/>
                    </w:docPartObj>
                  </w:sdtPr>
                  <w:sdtEndPr/>
                  <w:sdtContent>
                    <w:sdt>
                      <w:sdtPr>
                        <w:id w:val="18124399"/>
                        <w:docPartObj>
                          <w:docPartGallery w:val="Page Numbers (Top of Page)"/>
                          <w:docPartUnique/>
                        </w:docPartObj>
                      </w:sdtPr>
                      <w:sdtEndPr/>
                      <w:sdtContent>
                        <w:r>
                          <w:rPr>
                            <w:rFonts w:ascii="Calibri" w:hAnsi="Calibri"/>
                            <w:color w:val="000000"/>
                          </w:rPr>
                          <w:t>Copyright ©2019</w:t>
                        </w:r>
                        <w:r w:rsidRPr="00EE1BFB">
                          <w:rPr>
                            <w:rFonts w:ascii="Calibri" w:hAnsi="Calibri"/>
                            <w:color w:val="000000"/>
                          </w:rPr>
                          <w:t xml:space="preserve"> </w:t>
                        </w:r>
                        <w:r>
                          <w:rPr>
                            <w:rFonts w:ascii="Calibri" w:hAnsi="Calibri"/>
                            <w:color w:val="000000"/>
                          </w:rPr>
                          <w:t xml:space="preserve">WAMITAB                                                                                                   </w:t>
                        </w:r>
                        <w:r w:rsidRPr="00962130">
                          <w:t xml:space="preserve">Page </w:t>
                        </w:r>
                        <w:r w:rsidRPr="00962130">
                          <w:rPr>
                            <w:b/>
                          </w:rPr>
                          <w:fldChar w:fldCharType="begin"/>
                        </w:r>
                        <w:r w:rsidRPr="00962130">
                          <w:rPr>
                            <w:b/>
                          </w:rPr>
                          <w:instrText xml:space="preserve"> PAGE </w:instrText>
                        </w:r>
                        <w:r w:rsidRPr="00962130">
                          <w:rPr>
                            <w:b/>
                          </w:rPr>
                          <w:fldChar w:fldCharType="separate"/>
                        </w:r>
                        <w:r w:rsidR="00B80785">
                          <w:rPr>
                            <w:b/>
                            <w:noProof/>
                          </w:rPr>
                          <w:t>1</w:t>
                        </w:r>
                        <w:r w:rsidRPr="00962130">
                          <w:rPr>
                            <w:b/>
                          </w:rPr>
                          <w:fldChar w:fldCharType="end"/>
                        </w:r>
                        <w:r w:rsidRPr="00962130">
                          <w:t xml:space="preserve"> of </w:t>
                        </w:r>
                        <w:r w:rsidRPr="00962130">
                          <w:rPr>
                            <w:b/>
                          </w:rPr>
                          <w:fldChar w:fldCharType="begin"/>
                        </w:r>
                        <w:r w:rsidRPr="00962130">
                          <w:rPr>
                            <w:b/>
                          </w:rPr>
                          <w:instrText xml:space="preserve"> NUMPAGES  </w:instrText>
                        </w:r>
                        <w:r w:rsidRPr="00962130">
                          <w:rPr>
                            <w:b/>
                          </w:rPr>
                          <w:fldChar w:fldCharType="separate"/>
                        </w:r>
                        <w:r w:rsidR="00B80785">
                          <w:rPr>
                            <w:b/>
                            <w:noProof/>
                          </w:rPr>
                          <w:t>2</w:t>
                        </w:r>
                        <w:r w:rsidRPr="00962130">
                          <w:rPr>
                            <w:b/>
                          </w:rPr>
                          <w:fldChar w:fldCharType="end"/>
                        </w:r>
                      </w:sdtContent>
                    </w:sdt>
                  </w:sdtContent>
                </w:sdt>
              </w:sdtContent>
            </w:sdt>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087C" w:rsidRDefault="003D087C" w:rsidP="00033393">
      <w:pPr>
        <w:spacing w:after="0" w:line="240" w:lineRule="auto"/>
      </w:pPr>
      <w:r>
        <w:separator/>
      </w:r>
    </w:p>
  </w:footnote>
  <w:footnote w:type="continuationSeparator" w:id="0">
    <w:p w:rsidR="003D087C" w:rsidRDefault="003D087C" w:rsidP="000333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87C" w:rsidRPr="00033393" w:rsidRDefault="003D087C">
    <w:pPr>
      <w:pStyle w:val="Header"/>
      <w:rPr>
        <w:b/>
      </w:rPr>
    </w:pPr>
    <w:r w:rsidRPr="00033393">
      <w:rPr>
        <w:b/>
        <w:noProof/>
        <w:lang w:eastAsia="en-GB"/>
      </w:rPr>
      <mc:AlternateContent>
        <mc:Choice Requires="wps">
          <w:drawing>
            <wp:anchor distT="0" distB="0" distL="114300" distR="114300" simplePos="0" relativeHeight="251659264" behindDoc="0" locked="0" layoutInCell="1" allowOverlap="1" wp14:anchorId="23A9652B" wp14:editId="349AF079">
              <wp:simplePos x="0" y="0"/>
              <wp:positionH relativeFrom="column">
                <wp:posOffset>-914400</wp:posOffset>
              </wp:positionH>
              <wp:positionV relativeFrom="paragraph">
                <wp:posOffset>314695</wp:posOffset>
              </wp:positionV>
              <wp:extent cx="7560860" cy="136477"/>
              <wp:effectExtent l="0" t="0" r="21590" b="16510"/>
              <wp:wrapNone/>
              <wp:docPr id="1" name="Rectangle 1"/>
              <wp:cNvGraphicFramePr/>
              <a:graphic xmlns:a="http://schemas.openxmlformats.org/drawingml/2006/main">
                <a:graphicData uri="http://schemas.microsoft.com/office/word/2010/wordprocessingShape">
                  <wps:wsp>
                    <wps:cNvSpPr/>
                    <wps:spPr>
                      <a:xfrm>
                        <a:off x="0" y="0"/>
                        <a:ext cx="7560860" cy="136477"/>
                      </a:xfrm>
                      <a:prstGeom prst="rect">
                        <a:avLst/>
                      </a:prstGeom>
                      <a:solidFill>
                        <a:srgbClr val="7030A0"/>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1in;margin-top:24.8pt;width:595.35pt;height:10.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P75kgIAAK4FAAAOAAAAZHJzL2Uyb0RvYy54bWysVFFPGzEMfp+0/xDlfdy1lBYqrqgCMU1C&#10;gICJ5zSX9E7KxZmT9tr9+jm568EA7QGtD2l8tj/bX2yfX+waw7YKfQ224KOjnDNlJZS1XRf859P1&#10;t1POfBC2FAasKvheeX6x+PrlvHVzNYYKTKmQEYj189YVvArBzbPMy0o1wh+BU5aUGrARgURcZyWK&#10;ltAbk43zfJq1gKVDkMp7+nrVKfki4WutZLjT2qvATMEpt5BOTOcqntniXMzXKFxVyz4N8YksGlFb&#10;CjpAXYkg2Abrd1BNLRE86HAkoclA61qqVANVM8rfVPNYCadSLUSOdwNN/v/BytvtPbK6pLfjzIqG&#10;nuiBSBN2bRQbRXpa5+dk9ejusZc8XWOtO41N/Kcq2C5Ruh8oVbvAJH2cnUzz0ykxL0k3Op5OZrMI&#10;mr14O/Thu4KGxUvBkaInJsX2xofO9GASg3kwdXldG5MEXK8uDbKtoOed5cf5Mr0oof9lZuznPAkn&#10;umaRgq7odAt7oyKgsQ9KE3dU5jilnLpWDQkJKZUNo05ViVJ1eZ7k9OtJGDwSJQkwImuqb8DuAeJE&#10;vMfuCOrto6tKTT845/9KrHMePFJksGFwbmoL+BGAoar6yJ39gaSOmsjSCso9dRZCN3LeyeuaHvhG&#10;+HAvkGaMeoL2RrijQxtoCw79jbMK8PdH36M9tT5pOWtpZgvuf20EKs7MD0tDcTaaTOKQJ2FyMhuT&#10;gK81q9cau2kugfqGGp+yS9doH8zhqhGaZ1ovyxiVVMJKil1wGfAgXIZul9CCkmq5TGY02E6EG/vo&#10;ZASPrMYGfto9C3R9lweaj1s4zLeYv2n2zjZ6WlhuAug6TcILrz3ftBRS4/QLLG6d13Kyelmziz8A&#10;AAD//wMAUEsDBBQABgAIAAAAIQB5LoUJ3wAAAAsBAAAPAAAAZHJzL2Rvd25yZXYueG1sTI/BboMw&#10;EETvlfoP1lbqLbFpETQEE1VVc8mlKukHOHgDCLxG2EnM39c5tcfRjGbelLtgRnbF2fWWJCRrAQyp&#10;sbqnVsLPcb96A+a8Iq1GSyhhQQe76vGhVIW2N/rGa+1bFkvIFUpC5/1UcO6aDo1yazshRe9sZ6N8&#10;lHPL9axusdyM/EWIjBvVU1zo1IQfHTZDfTESxP5g8uXrIKbXeliSoQ/icxOkfH4K71tgHoP/C8Md&#10;P6JDFZlO9kLasVHCKknTeMZLSDcZsHtCpFkO7CQhTxLgVcn/f6h+AQAA//8DAFBLAQItABQABgAI&#10;AAAAIQC2gziS/gAAAOEBAAATAAAAAAAAAAAAAAAAAAAAAABbQ29udGVudF9UeXBlc10ueG1sUEsB&#10;Ai0AFAAGAAgAAAAhADj9If/WAAAAlAEAAAsAAAAAAAAAAAAAAAAALwEAAF9yZWxzLy5yZWxzUEsB&#10;Ai0AFAAGAAgAAAAhAGRE/vmSAgAArgUAAA4AAAAAAAAAAAAAAAAALgIAAGRycy9lMm9Eb2MueG1s&#10;UEsBAi0AFAAGAAgAAAAhAHkuhQnfAAAACwEAAA8AAAAAAAAAAAAAAAAA7AQAAGRycy9kb3ducmV2&#10;LnhtbFBLBQYAAAAABAAEAPMAAAD4BQAAAAA=&#10;" fillcolor="#7030a0" strokecolor="#7030a0" strokeweight="2pt"/>
          </w:pict>
        </mc:Fallback>
      </mc:AlternateContent>
    </w:r>
    <w:r w:rsidRPr="00033393">
      <w:rPr>
        <w:b/>
      </w:rPr>
      <w:t>Continuing Competence</w:t>
    </w:r>
    <w:r w:rsidRPr="00033393">
      <w:rPr>
        <w:b/>
      </w:rPr>
      <w:ptab w:relativeTo="margin" w:alignment="center" w:leader="none"/>
    </w:r>
    <w:r w:rsidRPr="00033393">
      <w:rPr>
        <w:b/>
      </w:rPr>
      <w:t>Free Update Sheet</w:t>
    </w:r>
    <w:r w:rsidRPr="00033393">
      <w:rPr>
        <w:b/>
      </w:rPr>
      <w:ptab w:relativeTo="margin" w:alignment="right" w:leader="none"/>
    </w:r>
    <w:r w:rsidRPr="00033393">
      <w:rPr>
        <w:b/>
      </w:rPr>
      <w:t>Period 2019-2021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D1596"/>
    <w:multiLevelType w:val="hybridMultilevel"/>
    <w:tmpl w:val="8738F3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72B2A70"/>
    <w:multiLevelType w:val="hybridMultilevel"/>
    <w:tmpl w:val="6CFEA3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0F35C5D"/>
    <w:multiLevelType w:val="hybridMultilevel"/>
    <w:tmpl w:val="6C22B0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3154F83"/>
    <w:multiLevelType w:val="hybridMultilevel"/>
    <w:tmpl w:val="4330DC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7B707DC"/>
    <w:multiLevelType w:val="hybridMultilevel"/>
    <w:tmpl w:val="7744D4FA"/>
    <w:lvl w:ilvl="0" w:tplc="B308D312">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AA676F2"/>
    <w:multiLevelType w:val="hybridMultilevel"/>
    <w:tmpl w:val="E5B6F9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FAC350C"/>
    <w:multiLevelType w:val="hybridMultilevel"/>
    <w:tmpl w:val="796481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241E5B49"/>
    <w:multiLevelType w:val="hybridMultilevel"/>
    <w:tmpl w:val="954035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2CA90B17"/>
    <w:multiLevelType w:val="hybridMultilevel"/>
    <w:tmpl w:val="24BE0C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2F8B17B5"/>
    <w:multiLevelType w:val="hybridMultilevel"/>
    <w:tmpl w:val="72B06D24"/>
    <w:lvl w:ilvl="0" w:tplc="B308D312">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3C2F11BB"/>
    <w:multiLevelType w:val="hybridMultilevel"/>
    <w:tmpl w:val="CD9EB9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3D900997"/>
    <w:multiLevelType w:val="hybridMultilevel"/>
    <w:tmpl w:val="205A7D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41005908"/>
    <w:multiLevelType w:val="hybridMultilevel"/>
    <w:tmpl w:val="B9C8BE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4663776D"/>
    <w:multiLevelType w:val="hybridMultilevel"/>
    <w:tmpl w:val="D32495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4A596AD8"/>
    <w:multiLevelType w:val="hybridMultilevel"/>
    <w:tmpl w:val="6AB61F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4C68065A"/>
    <w:multiLevelType w:val="hybridMultilevel"/>
    <w:tmpl w:val="A8A652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70734CE4"/>
    <w:multiLevelType w:val="hybridMultilevel"/>
    <w:tmpl w:val="04CAF5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734E388E"/>
    <w:multiLevelType w:val="hybridMultilevel"/>
    <w:tmpl w:val="B68A5D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747E68E5"/>
    <w:multiLevelType w:val="hybridMultilevel"/>
    <w:tmpl w:val="8C7E60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7D7537EE"/>
    <w:multiLevelType w:val="hybridMultilevel"/>
    <w:tmpl w:val="CBD40E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1"/>
  </w:num>
  <w:num w:numId="2">
    <w:abstractNumId w:val="8"/>
  </w:num>
  <w:num w:numId="3">
    <w:abstractNumId w:val="17"/>
  </w:num>
  <w:num w:numId="4">
    <w:abstractNumId w:val="12"/>
  </w:num>
  <w:num w:numId="5">
    <w:abstractNumId w:val="1"/>
  </w:num>
  <w:num w:numId="6">
    <w:abstractNumId w:val="10"/>
  </w:num>
  <w:num w:numId="7">
    <w:abstractNumId w:val="16"/>
  </w:num>
  <w:num w:numId="8">
    <w:abstractNumId w:val="7"/>
  </w:num>
  <w:num w:numId="9">
    <w:abstractNumId w:val="0"/>
  </w:num>
  <w:num w:numId="10">
    <w:abstractNumId w:val="3"/>
  </w:num>
  <w:num w:numId="11">
    <w:abstractNumId w:val="5"/>
  </w:num>
  <w:num w:numId="12">
    <w:abstractNumId w:val="4"/>
  </w:num>
  <w:num w:numId="13">
    <w:abstractNumId w:val="14"/>
  </w:num>
  <w:num w:numId="14">
    <w:abstractNumId w:val="13"/>
  </w:num>
  <w:num w:numId="15">
    <w:abstractNumId w:val="19"/>
  </w:num>
  <w:num w:numId="16">
    <w:abstractNumId w:val="9"/>
  </w:num>
  <w:num w:numId="17">
    <w:abstractNumId w:val="6"/>
  </w:num>
  <w:num w:numId="18">
    <w:abstractNumId w:val="18"/>
  </w:num>
  <w:num w:numId="19">
    <w:abstractNumId w:val="15"/>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CA7"/>
    <w:rsid w:val="00013D65"/>
    <w:rsid w:val="000218C2"/>
    <w:rsid w:val="0002797C"/>
    <w:rsid w:val="00033393"/>
    <w:rsid w:val="000725CE"/>
    <w:rsid w:val="000C3A3D"/>
    <w:rsid w:val="000F7123"/>
    <w:rsid w:val="00100934"/>
    <w:rsid w:val="001F147D"/>
    <w:rsid w:val="00212E7A"/>
    <w:rsid w:val="002431AD"/>
    <w:rsid w:val="00286918"/>
    <w:rsid w:val="00327D79"/>
    <w:rsid w:val="003321AB"/>
    <w:rsid w:val="00336B83"/>
    <w:rsid w:val="003D087C"/>
    <w:rsid w:val="003E0A4B"/>
    <w:rsid w:val="003F0771"/>
    <w:rsid w:val="003F6D66"/>
    <w:rsid w:val="00440CA7"/>
    <w:rsid w:val="005607D4"/>
    <w:rsid w:val="00616296"/>
    <w:rsid w:val="00671B6E"/>
    <w:rsid w:val="0069215B"/>
    <w:rsid w:val="007279D4"/>
    <w:rsid w:val="007A593D"/>
    <w:rsid w:val="007F566C"/>
    <w:rsid w:val="008A2290"/>
    <w:rsid w:val="008B1233"/>
    <w:rsid w:val="00917404"/>
    <w:rsid w:val="009253D5"/>
    <w:rsid w:val="00964157"/>
    <w:rsid w:val="00972763"/>
    <w:rsid w:val="009B5506"/>
    <w:rsid w:val="00A352DD"/>
    <w:rsid w:val="00A6136C"/>
    <w:rsid w:val="00A674E5"/>
    <w:rsid w:val="00A97B72"/>
    <w:rsid w:val="00AA5E92"/>
    <w:rsid w:val="00AA6976"/>
    <w:rsid w:val="00AB5205"/>
    <w:rsid w:val="00AE4804"/>
    <w:rsid w:val="00B13E7E"/>
    <w:rsid w:val="00B15D2A"/>
    <w:rsid w:val="00B348D5"/>
    <w:rsid w:val="00B80785"/>
    <w:rsid w:val="00BA44B5"/>
    <w:rsid w:val="00BE5446"/>
    <w:rsid w:val="00C02BF3"/>
    <w:rsid w:val="00C20806"/>
    <w:rsid w:val="00D311EE"/>
    <w:rsid w:val="00D90EA2"/>
    <w:rsid w:val="00DB0056"/>
    <w:rsid w:val="00E25F59"/>
    <w:rsid w:val="00E57C78"/>
    <w:rsid w:val="00E7595A"/>
    <w:rsid w:val="00E961A5"/>
    <w:rsid w:val="00F02619"/>
    <w:rsid w:val="00F029FD"/>
    <w:rsid w:val="00F11C75"/>
    <w:rsid w:val="00F9256E"/>
    <w:rsid w:val="00FB3587"/>
    <w:rsid w:val="00FF5A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286918"/>
    <w:pPr>
      <w:keepNext/>
      <w:keepLines/>
      <w:spacing w:after="240"/>
      <w:outlineLvl w:val="1"/>
    </w:pPr>
    <w:rPr>
      <w:rFonts w:ascii="Calibri" w:eastAsia="Times New Roman" w:hAnsi="Calibri" w:cs="Times New Roman"/>
      <w:b/>
      <w:bCs/>
      <w:color w:val="8064A2" w:themeColor="accent4"/>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33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3393"/>
  </w:style>
  <w:style w:type="paragraph" w:styleId="Footer">
    <w:name w:val="footer"/>
    <w:basedOn w:val="Normal"/>
    <w:link w:val="FooterChar"/>
    <w:uiPriority w:val="99"/>
    <w:unhideWhenUsed/>
    <w:rsid w:val="000333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3393"/>
  </w:style>
  <w:style w:type="paragraph" w:styleId="BalloonText">
    <w:name w:val="Balloon Text"/>
    <w:basedOn w:val="Normal"/>
    <w:link w:val="BalloonTextChar"/>
    <w:uiPriority w:val="99"/>
    <w:semiHidden/>
    <w:unhideWhenUsed/>
    <w:rsid w:val="000333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3393"/>
    <w:rPr>
      <w:rFonts w:ascii="Tahoma" w:hAnsi="Tahoma" w:cs="Tahoma"/>
      <w:sz w:val="16"/>
      <w:szCs w:val="16"/>
    </w:rPr>
  </w:style>
  <w:style w:type="table" w:styleId="TableGrid">
    <w:name w:val="Table Grid"/>
    <w:basedOn w:val="TableNormal"/>
    <w:uiPriority w:val="59"/>
    <w:rsid w:val="00BE54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02619"/>
    <w:pPr>
      <w:ind w:left="720"/>
      <w:contextualSpacing/>
    </w:pPr>
  </w:style>
  <w:style w:type="character" w:styleId="Hyperlink">
    <w:name w:val="Hyperlink"/>
    <w:basedOn w:val="DefaultParagraphFont"/>
    <w:uiPriority w:val="99"/>
    <w:unhideWhenUsed/>
    <w:rsid w:val="00F02619"/>
    <w:rPr>
      <w:color w:val="0000FF" w:themeColor="hyperlink"/>
      <w:u w:val="single"/>
    </w:rPr>
  </w:style>
  <w:style w:type="table" w:styleId="LightShading-Accent4">
    <w:name w:val="Light Shading Accent 4"/>
    <w:basedOn w:val="TableNormal"/>
    <w:uiPriority w:val="60"/>
    <w:rsid w:val="00C02BF3"/>
    <w:pPr>
      <w:spacing w:after="0" w:line="240" w:lineRule="auto"/>
    </w:pPr>
    <w:rPr>
      <w:rFonts w:eastAsiaTheme="minorEastAsia"/>
      <w:color w:val="5F497A" w:themeColor="accent4" w:themeShade="BF"/>
      <w:lang w:eastAsia="en-GB"/>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character" w:customStyle="1" w:styleId="Heading2Char">
    <w:name w:val="Heading 2 Char"/>
    <w:basedOn w:val="DefaultParagraphFont"/>
    <w:link w:val="Heading2"/>
    <w:uiPriority w:val="9"/>
    <w:rsid w:val="00286918"/>
    <w:rPr>
      <w:rFonts w:ascii="Calibri" w:eastAsia="Times New Roman" w:hAnsi="Calibri" w:cs="Times New Roman"/>
      <w:b/>
      <w:bCs/>
      <w:color w:val="8064A2" w:themeColor="accent4"/>
      <w:sz w:val="26"/>
      <w:szCs w:val="26"/>
      <w:lang w:eastAsia="en-GB"/>
    </w:rPr>
  </w:style>
  <w:style w:type="paragraph" w:customStyle="1" w:styleId="Quick">
    <w:name w:val="Quick ­"/>
    <w:basedOn w:val="Normal"/>
    <w:rsid w:val="009253D5"/>
    <w:pPr>
      <w:widowControl w:val="0"/>
      <w:spacing w:after="0" w:line="240" w:lineRule="auto"/>
      <w:ind w:left="720" w:hanging="720"/>
    </w:pPr>
    <w:rPr>
      <w:rFonts w:ascii="CG Times" w:eastAsia="Times New Roman" w:hAnsi="CG Times" w:cs="Times New Roman"/>
      <w:snapToGrid w:val="0"/>
      <w:sz w:val="24"/>
      <w:szCs w:val="20"/>
      <w:lang w:val="en-US"/>
    </w:rPr>
  </w:style>
  <w:style w:type="character" w:styleId="CommentReference">
    <w:name w:val="annotation reference"/>
    <w:basedOn w:val="DefaultParagraphFont"/>
    <w:uiPriority w:val="99"/>
    <w:semiHidden/>
    <w:unhideWhenUsed/>
    <w:rsid w:val="00D311EE"/>
    <w:rPr>
      <w:sz w:val="16"/>
      <w:szCs w:val="16"/>
    </w:rPr>
  </w:style>
  <w:style w:type="paragraph" w:styleId="CommentText">
    <w:name w:val="annotation text"/>
    <w:basedOn w:val="Normal"/>
    <w:link w:val="CommentTextChar"/>
    <w:uiPriority w:val="99"/>
    <w:semiHidden/>
    <w:unhideWhenUsed/>
    <w:rsid w:val="00D311EE"/>
    <w:pPr>
      <w:spacing w:line="240" w:lineRule="auto"/>
    </w:pPr>
    <w:rPr>
      <w:sz w:val="20"/>
      <w:szCs w:val="20"/>
    </w:rPr>
  </w:style>
  <w:style w:type="character" w:customStyle="1" w:styleId="CommentTextChar">
    <w:name w:val="Comment Text Char"/>
    <w:basedOn w:val="DefaultParagraphFont"/>
    <w:link w:val="CommentText"/>
    <w:uiPriority w:val="99"/>
    <w:semiHidden/>
    <w:rsid w:val="00D311EE"/>
    <w:rPr>
      <w:sz w:val="20"/>
      <w:szCs w:val="20"/>
    </w:rPr>
  </w:style>
  <w:style w:type="paragraph" w:styleId="CommentSubject">
    <w:name w:val="annotation subject"/>
    <w:basedOn w:val="CommentText"/>
    <w:next w:val="CommentText"/>
    <w:link w:val="CommentSubjectChar"/>
    <w:uiPriority w:val="99"/>
    <w:semiHidden/>
    <w:unhideWhenUsed/>
    <w:rsid w:val="00D311EE"/>
    <w:rPr>
      <w:b/>
      <w:bCs/>
    </w:rPr>
  </w:style>
  <w:style w:type="character" w:customStyle="1" w:styleId="CommentSubjectChar">
    <w:name w:val="Comment Subject Char"/>
    <w:basedOn w:val="CommentTextChar"/>
    <w:link w:val="CommentSubject"/>
    <w:uiPriority w:val="99"/>
    <w:semiHidden/>
    <w:rsid w:val="00D311EE"/>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286918"/>
    <w:pPr>
      <w:keepNext/>
      <w:keepLines/>
      <w:spacing w:after="240"/>
      <w:outlineLvl w:val="1"/>
    </w:pPr>
    <w:rPr>
      <w:rFonts w:ascii="Calibri" w:eastAsia="Times New Roman" w:hAnsi="Calibri" w:cs="Times New Roman"/>
      <w:b/>
      <w:bCs/>
      <w:color w:val="8064A2" w:themeColor="accent4"/>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33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3393"/>
  </w:style>
  <w:style w:type="paragraph" w:styleId="Footer">
    <w:name w:val="footer"/>
    <w:basedOn w:val="Normal"/>
    <w:link w:val="FooterChar"/>
    <w:uiPriority w:val="99"/>
    <w:unhideWhenUsed/>
    <w:rsid w:val="000333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3393"/>
  </w:style>
  <w:style w:type="paragraph" w:styleId="BalloonText">
    <w:name w:val="Balloon Text"/>
    <w:basedOn w:val="Normal"/>
    <w:link w:val="BalloonTextChar"/>
    <w:uiPriority w:val="99"/>
    <w:semiHidden/>
    <w:unhideWhenUsed/>
    <w:rsid w:val="000333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3393"/>
    <w:rPr>
      <w:rFonts w:ascii="Tahoma" w:hAnsi="Tahoma" w:cs="Tahoma"/>
      <w:sz w:val="16"/>
      <w:szCs w:val="16"/>
    </w:rPr>
  </w:style>
  <w:style w:type="table" w:styleId="TableGrid">
    <w:name w:val="Table Grid"/>
    <w:basedOn w:val="TableNormal"/>
    <w:uiPriority w:val="59"/>
    <w:rsid w:val="00BE54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02619"/>
    <w:pPr>
      <w:ind w:left="720"/>
      <w:contextualSpacing/>
    </w:pPr>
  </w:style>
  <w:style w:type="character" w:styleId="Hyperlink">
    <w:name w:val="Hyperlink"/>
    <w:basedOn w:val="DefaultParagraphFont"/>
    <w:uiPriority w:val="99"/>
    <w:unhideWhenUsed/>
    <w:rsid w:val="00F02619"/>
    <w:rPr>
      <w:color w:val="0000FF" w:themeColor="hyperlink"/>
      <w:u w:val="single"/>
    </w:rPr>
  </w:style>
  <w:style w:type="table" w:styleId="LightShading-Accent4">
    <w:name w:val="Light Shading Accent 4"/>
    <w:basedOn w:val="TableNormal"/>
    <w:uiPriority w:val="60"/>
    <w:rsid w:val="00C02BF3"/>
    <w:pPr>
      <w:spacing w:after="0" w:line="240" w:lineRule="auto"/>
    </w:pPr>
    <w:rPr>
      <w:rFonts w:eastAsiaTheme="minorEastAsia"/>
      <w:color w:val="5F497A" w:themeColor="accent4" w:themeShade="BF"/>
      <w:lang w:eastAsia="en-GB"/>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character" w:customStyle="1" w:styleId="Heading2Char">
    <w:name w:val="Heading 2 Char"/>
    <w:basedOn w:val="DefaultParagraphFont"/>
    <w:link w:val="Heading2"/>
    <w:uiPriority w:val="9"/>
    <w:rsid w:val="00286918"/>
    <w:rPr>
      <w:rFonts w:ascii="Calibri" w:eastAsia="Times New Roman" w:hAnsi="Calibri" w:cs="Times New Roman"/>
      <w:b/>
      <w:bCs/>
      <w:color w:val="8064A2" w:themeColor="accent4"/>
      <w:sz w:val="26"/>
      <w:szCs w:val="26"/>
      <w:lang w:eastAsia="en-GB"/>
    </w:rPr>
  </w:style>
  <w:style w:type="paragraph" w:customStyle="1" w:styleId="Quick">
    <w:name w:val="Quick ­"/>
    <w:basedOn w:val="Normal"/>
    <w:rsid w:val="009253D5"/>
    <w:pPr>
      <w:widowControl w:val="0"/>
      <w:spacing w:after="0" w:line="240" w:lineRule="auto"/>
      <w:ind w:left="720" w:hanging="720"/>
    </w:pPr>
    <w:rPr>
      <w:rFonts w:ascii="CG Times" w:eastAsia="Times New Roman" w:hAnsi="CG Times" w:cs="Times New Roman"/>
      <w:snapToGrid w:val="0"/>
      <w:sz w:val="24"/>
      <w:szCs w:val="20"/>
      <w:lang w:val="en-US"/>
    </w:rPr>
  </w:style>
  <w:style w:type="character" w:styleId="CommentReference">
    <w:name w:val="annotation reference"/>
    <w:basedOn w:val="DefaultParagraphFont"/>
    <w:uiPriority w:val="99"/>
    <w:semiHidden/>
    <w:unhideWhenUsed/>
    <w:rsid w:val="00D311EE"/>
    <w:rPr>
      <w:sz w:val="16"/>
      <w:szCs w:val="16"/>
    </w:rPr>
  </w:style>
  <w:style w:type="paragraph" w:styleId="CommentText">
    <w:name w:val="annotation text"/>
    <w:basedOn w:val="Normal"/>
    <w:link w:val="CommentTextChar"/>
    <w:uiPriority w:val="99"/>
    <w:semiHidden/>
    <w:unhideWhenUsed/>
    <w:rsid w:val="00D311EE"/>
    <w:pPr>
      <w:spacing w:line="240" w:lineRule="auto"/>
    </w:pPr>
    <w:rPr>
      <w:sz w:val="20"/>
      <w:szCs w:val="20"/>
    </w:rPr>
  </w:style>
  <w:style w:type="character" w:customStyle="1" w:styleId="CommentTextChar">
    <w:name w:val="Comment Text Char"/>
    <w:basedOn w:val="DefaultParagraphFont"/>
    <w:link w:val="CommentText"/>
    <w:uiPriority w:val="99"/>
    <w:semiHidden/>
    <w:rsid w:val="00D311EE"/>
    <w:rPr>
      <w:sz w:val="20"/>
      <w:szCs w:val="20"/>
    </w:rPr>
  </w:style>
  <w:style w:type="paragraph" w:styleId="CommentSubject">
    <w:name w:val="annotation subject"/>
    <w:basedOn w:val="CommentText"/>
    <w:next w:val="CommentText"/>
    <w:link w:val="CommentSubjectChar"/>
    <w:uiPriority w:val="99"/>
    <w:semiHidden/>
    <w:unhideWhenUsed/>
    <w:rsid w:val="00D311EE"/>
    <w:rPr>
      <w:b/>
      <w:bCs/>
    </w:rPr>
  </w:style>
  <w:style w:type="character" w:customStyle="1" w:styleId="CommentSubjectChar">
    <w:name w:val="Comment Subject Char"/>
    <w:basedOn w:val="CommentTextChar"/>
    <w:link w:val="CommentSubject"/>
    <w:uiPriority w:val="99"/>
    <w:semiHidden/>
    <w:rsid w:val="00D311E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1449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v.uk/government/publications/financial-provision-for-landfill" TargetMode="External"/><Relationship Id="rId18" Type="http://schemas.openxmlformats.org/officeDocument/2006/relationships/hyperlink" Target="https://webarchive.nationalarchives.gov.uk/20140328160310/http:/cdn.environment-agency.gov.uk/geho0509bpwj-e-e.pdf" TargetMode="External"/><Relationship Id="rId26" Type="http://schemas.openxmlformats.org/officeDocument/2006/relationships/hyperlink" Target="https://www.gov.uk/government/collections/national-operator-waste-returns" TargetMode="External"/><Relationship Id="rId3" Type="http://schemas.openxmlformats.org/officeDocument/2006/relationships/styles" Target="styles.xml"/><Relationship Id="rId21" Type="http://schemas.openxmlformats.org/officeDocument/2006/relationships/hyperlink" Target="https://naturalresources.wales/media/1216/understanding-the-landfill-directive-lfd-1.pdf?lang=en" TargetMode="External"/><Relationship Id="rId7" Type="http://schemas.openxmlformats.org/officeDocument/2006/relationships/footnotes" Target="footnotes.xml"/><Relationship Id="rId12" Type="http://schemas.openxmlformats.org/officeDocument/2006/relationships/hyperlink" Target="https://cdn.naturalresources.wales/media/2111/how-to-comply-with-your-environmental-permit-additional-guidance-for-landfill-epr-502.pdf?mode=pad&amp;rnd=131467614970000000" TargetMode="External"/><Relationship Id="rId17" Type="http://schemas.openxmlformats.org/officeDocument/2006/relationships/hyperlink" Target="https://www.gov.uk/government/uploads/system/uploads/attachment_data/file/296422/geho1110btew-e-e.pdf" TargetMode="External"/><Relationship Id="rId25" Type="http://schemas.openxmlformats.org/officeDocument/2006/relationships/hyperlink" Target="https://assets.publishing.service.gov.uk/government/uploads/system/uploads/attachment_data/file/321606/LFTGN03.pdf" TargetMode="External"/><Relationship Id="rId2" Type="http://schemas.openxmlformats.org/officeDocument/2006/relationships/numbering" Target="numbering.xml"/><Relationship Id="rId16" Type="http://schemas.openxmlformats.org/officeDocument/2006/relationships/hyperlink" Target="https://www.gov.uk/government/uploads/system/uploads/attachment_data/file/321514/LFE5.pdf" TargetMode="External"/><Relationship Id="rId20" Type="http://schemas.openxmlformats.org/officeDocument/2006/relationships/hyperlink" Target="https://www.gov.uk/government/uploads/system/uploads/attachment_data/file/296536/LIT_8286_f89fa7.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uk/government/uploads/system/uploads/attachment_data/file/296861/geho0409bput-e-e.pdf" TargetMode="External"/><Relationship Id="rId24" Type="http://schemas.openxmlformats.org/officeDocument/2006/relationships/hyperlink" Target="http://www.hse.gov.uk/workplacetransport/vehicles/inspection.htm" TargetMode="External"/><Relationship Id="rId5" Type="http://schemas.openxmlformats.org/officeDocument/2006/relationships/settings" Target="settings.xml"/><Relationship Id="rId15" Type="http://schemas.openxmlformats.org/officeDocument/2006/relationships/hyperlink" Target="https://wamitab.org.uk/wp-content/uploads/2018/09/CIWM-WAMITAB-Operator-Competence-Scheme-Version-9-Final.pdf" TargetMode="External"/><Relationship Id="rId23" Type="http://schemas.openxmlformats.org/officeDocument/2006/relationships/hyperlink" Target="http://www.hse.gov.uk/waste/machinery.htm" TargetMode="External"/><Relationship Id="rId28" Type="http://schemas.openxmlformats.org/officeDocument/2006/relationships/hyperlink" Target="https://wamitab.org.uk/competence/continuing-competence/test-score-calculator/" TargetMode="External"/><Relationship Id="rId10" Type="http://schemas.openxmlformats.org/officeDocument/2006/relationships/footer" Target="footer1.xml"/><Relationship Id="rId19" Type="http://schemas.openxmlformats.org/officeDocument/2006/relationships/hyperlink" Target="https://www.gov.uk/government/publications/monitoring-of-landfill-leachate-groundwater-and-surface-water-lftgn-02"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cdn.naturalresources.wales/media/1216/understanding-the-landfill-directive-lfd-1.pdf?mode=pad&amp;rnd=131467659650000000" TargetMode="External"/><Relationship Id="rId22" Type="http://schemas.openxmlformats.org/officeDocument/2006/relationships/hyperlink" Target="https://assets.publishing.service.gov.uk/government/uploads/system/uploads/attachment_data/file/321537/LFE6_guidance_on_using_landfill_cover_materials.pdf" TargetMode="External"/><Relationship Id="rId27" Type="http://schemas.openxmlformats.org/officeDocument/2006/relationships/hyperlink" Target="https://www.gov.uk/dispose-hazardous-waste/consignee-returns"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21AF61E8-AD0E-496C-9704-069D86E3A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1096</Words>
  <Characters>6251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Wamitab</Company>
  <LinksUpToDate>false</LinksUpToDate>
  <CharactersWithSpaces>7333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Kemp</dc:creator>
  <cp:lastModifiedBy>Sophie Howard</cp:lastModifiedBy>
  <cp:revision>2</cp:revision>
  <cp:lastPrinted>2018-11-07T09:57:00Z</cp:lastPrinted>
  <dcterms:created xsi:type="dcterms:W3CDTF">2019-02-18T16:24:00Z</dcterms:created>
  <dcterms:modified xsi:type="dcterms:W3CDTF">2019-02-18T16:24:00Z</dcterms:modified>
</cp:coreProperties>
</file>