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9E2B20" w:rsidP="007A48C2">
      <w:pPr>
        <w:spacing w:before="240" w:after="0" w:line="240" w:lineRule="auto"/>
        <w:rPr>
          <w:b/>
          <w:color w:val="7030A0"/>
          <w:sz w:val="24"/>
        </w:rPr>
      </w:pPr>
      <w:bookmarkStart w:id="0" w:name="_GoBack"/>
      <w:bookmarkEnd w:id="0"/>
      <w:r>
        <w:rPr>
          <w:b/>
          <w:color w:val="7030A0"/>
          <w:sz w:val="24"/>
        </w:rPr>
        <w:t>Treatment and Transfer Non-Hazardous</w:t>
      </w:r>
    </w:p>
    <w:p w:rsidR="00A6136C" w:rsidRDefault="00A6136C" w:rsidP="007A48C2">
      <w:pPr>
        <w:spacing w:after="0" w:line="240" w:lineRule="auto"/>
        <w:rPr>
          <w:b/>
        </w:rPr>
      </w:pPr>
      <w:r>
        <w:rPr>
          <w:b/>
        </w:rPr>
        <w:t>Content Changes 2016-2018 Revision Guide</w:t>
      </w:r>
    </w:p>
    <w:p w:rsidR="00C44FE0" w:rsidRPr="00C44FE0" w:rsidRDefault="00C44FE0" w:rsidP="00C44FE0">
      <w:pPr>
        <w:spacing w:after="0"/>
        <w:rPr>
          <w:rFonts w:ascii="Calibri" w:eastAsia="Calibri" w:hAnsi="Calibri" w:cs="Times New Roman"/>
          <w:b/>
          <w:i/>
        </w:rPr>
      </w:pPr>
      <w:r w:rsidRPr="00C44FE0">
        <w:rPr>
          <w:rFonts w:ascii="Calibri" w:eastAsia="Calibri" w:hAnsi="Calibri" w:cs="Times New Roman"/>
          <w:b/>
          <w:i/>
        </w:rPr>
        <w:t xml:space="preserve">All page numbers refer to the 2016-2018 Revision Guides with red covers. </w:t>
      </w:r>
    </w:p>
    <w:p w:rsidR="00C44FE0" w:rsidRDefault="00C44FE0" w:rsidP="007A48C2">
      <w:pPr>
        <w:spacing w:after="0" w:line="240" w:lineRule="auto"/>
        <w:rPr>
          <w:b/>
        </w:rPr>
      </w:pPr>
    </w:p>
    <w:p w:rsidR="008A2290" w:rsidRDefault="008A2290" w:rsidP="007A48C2">
      <w:pPr>
        <w:spacing w:line="240" w:lineRule="auto"/>
        <w:rPr>
          <w:i/>
          <w:color w:val="7030A0"/>
        </w:rPr>
      </w:pPr>
      <w:r>
        <w:rPr>
          <w:i/>
          <w:color w:val="7030A0"/>
        </w:rPr>
        <w:t xml:space="preserve">Section </w:t>
      </w:r>
      <w:r w:rsidR="009E2B20">
        <w:rPr>
          <w:i/>
          <w:color w:val="7030A0"/>
        </w:rPr>
        <w:t>1</w:t>
      </w:r>
      <w:r>
        <w:rPr>
          <w:i/>
          <w:color w:val="7030A0"/>
        </w:rPr>
        <w:t xml:space="preserve">: </w:t>
      </w:r>
      <w:r w:rsidR="009E2B20">
        <w:rPr>
          <w:i/>
          <w:color w:val="7030A0"/>
        </w:rPr>
        <w:t>Mirror Entries</w:t>
      </w:r>
      <w:r w:rsidR="00E57C78">
        <w:rPr>
          <w:i/>
          <w:color w:val="7030A0"/>
        </w:rPr>
        <w:t>, page 1</w:t>
      </w:r>
      <w:r w:rsidR="00DF36FE">
        <w:rPr>
          <w:i/>
          <w:color w:val="7030A0"/>
        </w:rPr>
        <w:t>3</w:t>
      </w:r>
    </w:p>
    <w:p w:rsidR="009E2B20" w:rsidRDefault="009E2B20" w:rsidP="007A48C2">
      <w:pPr>
        <w:pStyle w:val="ListParagraph"/>
        <w:numPr>
          <w:ilvl w:val="0"/>
          <w:numId w:val="19"/>
        </w:numPr>
        <w:spacing w:line="240" w:lineRule="auto"/>
      </w:pPr>
      <w:r>
        <w:t xml:space="preserve">A hazardous waste entry (or entries) </w:t>
      </w:r>
      <w:r w:rsidR="00CC147C">
        <w:t>is</w:t>
      </w:r>
      <w:r>
        <w:t xml:space="preserve"> marked with an asterisk (*).</w:t>
      </w:r>
    </w:p>
    <w:p w:rsidR="009E2B20" w:rsidRPr="009E2B20" w:rsidRDefault="009E2B20" w:rsidP="007A48C2">
      <w:pPr>
        <w:pStyle w:val="ListParagraph"/>
        <w:numPr>
          <w:ilvl w:val="0"/>
          <w:numId w:val="19"/>
        </w:numPr>
        <w:spacing w:line="240" w:lineRule="auto"/>
      </w:pPr>
      <w:r w:rsidRPr="009E2B20">
        <w:t>There is no limit to the organic content of an individual waste stream accepted at a landfill for non-hazardous waste.</w:t>
      </w:r>
    </w:p>
    <w:p w:rsidR="007F566C" w:rsidRDefault="009E2B20" w:rsidP="007A48C2">
      <w:pPr>
        <w:spacing w:line="240" w:lineRule="auto"/>
        <w:rPr>
          <w:i/>
          <w:color w:val="7030A0"/>
        </w:rPr>
      </w:pPr>
      <w:r>
        <w:rPr>
          <w:i/>
          <w:color w:val="7030A0"/>
        </w:rPr>
        <w:t>AMENDED Learning outcome 1.2: Know how to apply the waste hierarchy to the management of any non-hazardous waste to be transferred for disposal or further treatment.</w:t>
      </w:r>
    </w:p>
    <w:p w:rsidR="00366055" w:rsidRDefault="00366055" w:rsidP="007A48C2">
      <w:pPr>
        <w:spacing w:line="240" w:lineRule="auto"/>
        <w:rPr>
          <w:i/>
          <w:color w:val="7030A0"/>
        </w:rPr>
      </w:pPr>
      <w:r>
        <w:rPr>
          <w:i/>
          <w:color w:val="7030A0"/>
        </w:rPr>
        <w:t>Section 2: Checking and Receiving Wastes, page 1</w:t>
      </w:r>
      <w:r w:rsidR="00DF36FE">
        <w:rPr>
          <w:i/>
          <w:color w:val="7030A0"/>
        </w:rPr>
        <w:t>8</w:t>
      </w:r>
    </w:p>
    <w:p w:rsidR="00366055" w:rsidRPr="0033388E" w:rsidRDefault="00366055" w:rsidP="007A48C2">
      <w:pPr>
        <w:pStyle w:val="ListParagraph"/>
        <w:numPr>
          <w:ilvl w:val="0"/>
          <w:numId w:val="20"/>
        </w:numPr>
        <w:spacing w:line="240" w:lineRule="auto"/>
      </w:pPr>
      <w:r w:rsidRPr="0033388E">
        <w:t>If waste arrives without any written information, an operator should create a written explanation that includes:</w:t>
      </w:r>
    </w:p>
    <w:p w:rsidR="00366055" w:rsidRPr="0033388E" w:rsidRDefault="00366055" w:rsidP="007A48C2">
      <w:pPr>
        <w:pStyle w:val="ListParagraph"/>
        <w:numPr>
          <w:ilvl w:val="1"/>
          <w:numId w:val="21"/>
        </w:numPr>
        <w:spacing w:line="240" w:lineRule="auto"/>
      </w:pPr>
      <w:r w:rsidRPr="0033388E">
        <w:t>The reason the waste is being rejected.</w:t>
      </w:r>
    </w:p>
    <w:p w:rsidR="00366055" w:rsidRPr="0033388E" w:rsidRDefault="00366055" w:rsidP="007A48C2">
      <w:pPr>
        <w:pStyle w:val="ListParagraph"/>
        <w:numPr>
          <w:ilvl w:val="1"/>
          <w:numId w:val="21"/>
        </w:numPr>
        <w:spacing w:line="240" w:lineRule="auto"/>
      </w:pPr>
      <w:r w:rsidRPr="0033388E">
        <w:t>The description or classification of the waste.</w:t>
      </w:r>
    </w:p>
    <w:p w:rsidR="00366055" w:rsidRPr="0033388E" w:rsidRDefault="00366055" w:rsidP="007A48C2">
      <w:pPr>
        <w:pStyle w:val="ListParagraph"/>
        <w:numPr>
          <w:ilvl w:val="1"/>
          <w:numId w:val="21"/>
        </w:numPr>
        <w:spacing w:line="240" w:lineRule="auto"/>
      </w:pPr>
      <w:r w:rsidRPr="0033388E">
        <w:t>The names of the producer, holder, consignor and carrier.</w:t>
      </w:r>
    </w:p>
    <w:p w:rsidR="00366055" w:rsidRPr="0033388E" w:rsidRDefault="00366055" w:rsidP="007A48C2">
      <w:pPr>
        <w:pStyle w:val="ListParagraph"/>
        <w:numPr>
          <w:ilvl w:val="1"/>
          <w:numId w:val="21"/>
        </w:numPr>
        <w:spacing w:line="240" w:lineRule="auto"/>
      </w:pPr>
      <w:r w:rsidRPr="0033388E">
        <w:t>A consignment note code in the format REJECT/XXXXX.</w:t>
      </w:r>
    </w:p>
    <w:p w:rsidR="00366055" w:rsidRPr="00366055" w:rsidRDefault="00366055" w:rsidP="007A48C2">
      <w:pPr>
        <w:pStyle w:val="ListParagraph"/>
        <w:numPr>
          <w:ilvl w:val="0"/>
          <w:numId w:val="21"/>
        </w:numPr>
        <w:spacing w:line="240" w:lineRule="auto"/>
        <w:rPr>
          <w:color w:val="00B050"/>
        </w:rPr>
      </w:pPr>
      <w:r w:rsidRPr="0033388E">
        <w:t xml:space="preserve">Waste holders have a duty of care </w:t>
      </w:r>
      <w:r w:rsidRPr="00366055">
        <w:t>to take all reasonable steps to ensure that when they transfer waste to another waste holder</w:t>
      </w:r>
      <w:r w:rsidR="002E473D">
        <w:t>,</w:t>
      </w:r>
      <w:r w:rsidRPr="00366055">
        <w:t xml:space="preserve"> it is managed correctly.</w:t>
      </w:r>
    </w:p>
    <w:p w:rsidR="00366055" w:rsidRPr="00366055" w:rsidRDefault="00366055" w:rsidP="007A48C2">
      <w:pPr>
        <w:pStyle w:val="ListParagraph"/>
        <w:numPr>
          <w:ilvl w:val="0"/>
          <w:numId w:val="21"/>
        </w:numPr>
        <w:spacing w:line="240" w:lineRule="auto"/>
        <w:rPr>
          <w:color w:val="00B050"/>
        </w:rPr>
      </w:pPr>
      <w:r w:rsidRPr="00366055">
        <w:t xml:space="preserve">They can do this by checking </w:t>
      </w:r>
      <w:r w:rsidR="002E473D">
        <w:t xml:space="preserve">that </w:t>
      </w:r>
      <w:r w:rsidRPr="00366055">
        <w:t>the waste holder is authorised to take the waste, asking where they will take the waste and carrying out more detailed checks if concerned.</w:t>
      </w:r>
    </w:p>
    <w:p w:rsidR="00366055" w:rsidRPr="009E2B20" w:rsidRDefault="00366055" w:rsidP="007A48C2">
      <w:pPr>
        <w:spacing w:line="240" w:lineRule="auto"/>
      </w:pPr>
      <w:r w:rsidRPr="00366055">
        <w:rPr>
          <w:i/>
          <w:color w:val="7030A0"/>
        </w:rPr>
        <w:t>REMOVED Learning outcome 2.6: Know when additional requirements for pre-acceptance checks should be applied.</w:t>
      </w:r>
    </w:p>
    <w:p w:rsidR="00366055" w:rsidRDefault="00366055" w:rsidP="007A48C2">
      <w:pPr>
        <w:spacing w:line="240" w:lineRule="auto"/>
        <w:rPr>
          <w:i/>
          <w:color w:val="7030A0"/>
        </w:rPr>
      </w:pPr>
      <w:r w:rsidRPr="00366055">
        <w:rPr>
          <w:i/>
          <w:color w:val="7030A0"/>
        </w:rPr>
        <w:t xml:space="preserve">Section 2: </w:t>
      </w:r>
      <w:r>
        <w:rPr>
          <w:i/>
          <w:color w:val="7030A0"/>
        </w:rPr>
        <w:t>Classifying waste and non-compliant waste</w:t>
      </w:r>
      <w:r w:rsidRPr="00366055">
        <w:rPr>
          <w:i/>
          <w:color w:val="7030A0"/>
        </w:rPr>
        <w:t>, page 1</w:t>
      </w:r>
      <w:r w:rsidR="00DF36FE">
        <w:rPr>
          <w:i/>
          <w:color w:val="7030A0"/>
        </w:rPr>
        <w:t>9</w:t>
      </w:r>
    </w:p>
    <w:p w:rsidR="00A737A7" w:rsidRDefault="00A737A7" w:rsidP="007A48C2">
      <w:pPr>
        <w:spacing w:line="240" w:lineRule="auto"/>
      </w:pPr>
    </w:p>
    <w:p w:rsidR="00A737A7" w:rsidRDefault="00A737A7" w:rsidP="007A48C2">
      <w:pPr>
        <w:spacing w:line="240" w:lineRule="auto"/>
      </w:pPr>
    </w:p>
    <w:p w:rsidR="007A48C2" w:rsidRDefault="00366055" w:rsidP="007A48C2">
      <w:pPr>
        <w:spacing w:line="240" w:lineRule="auto"/>
      </w:pPr>
      <w:r>
        <w:t xml:space="preserve">Before waste is collected, disposed of or recovered, it must be assessed and classified to identify if it is hazardous. </w:t>
      </w:r>
    </w:p>
    <w:p w:rsidR="00366055" w:rsidRPr="003D5F38" w:rsidRDefault="00366055" w:rsidP="007A48C2">
      <w:pPr>
        <w:spacing w:line="240" w:lineRule="auto"/>
      </w:pPr>
      <w:r>
        <w:t>This ensures that the correct controls are applied to the waste.</w:t>
      </w:r>
    </w:p>
    <w:p w:rsidR="00366055" w:rsidRDefault="00366055" w:rsidP="007A48C2">
      <w:pPr>
        <w:spacing w:line="240" w:lineRule="auto"/>
        <w:rPr>
          <w:i/>
          <w:color w:val="7030A0"/>
        </w:rPr>
      </w:pPr>
      <w:r w:rsidRPr="00366055">
        <w:rPr>
          <w:i/>
          <w:color w:val="7030A0"/>
        </w:rPr>
        <w:t xml:space="preserve">REMOVED Learning outcome </w:t>
      </w:r>
      <w:r>
        <w:rPr>
          <w:i/>
          <w:color w:val="7030A0"/>
        </w:rPr>
        <w:t>3.2</w:t>
      </w:r>
      <w:r w:rsidRPr="00366055">
        <w:rPr>
          <w:i/>
          <w:color w:val="7030A0"/>
        </w:rPr>
        <w:t xml:space="preserve">: Know </w:t>
      </w:r>
      <w:r>
        <w:rPr>
          <w:i/>
          <w:color w:val="7030A0"/>
        </w:rPr>
        <w:t>the requirements for infrastructure in areas where treatment of non-hazardous wastes tales place.</w:t>
      </w:r>
    </w:p>
    <w:p w:rsidR="00366055" w:rsidRDefault="00366055" w:rsidP="007A48C2">
      <w:pPr>
        <w:spacing w:line="240" w:lineRule="auto"/>
        <w:rPr>
          <w:i/>
          <w:color w:val="7030A0"/>
        </w:rPr>
      </w:pPr>
      <w:r w:rsidRPr="00366055">
        <w:rPr>
          <w:i/>
          <w:color w:val="7030A0"/>
        </w:rPr>
        <w:t xml:space="preserve">Section </w:t>
      </w:r>
      <w:r>
        <w:rPr>
          <w:i/>
          <w:color w:val="7030A0"/>
        </w:rPr>
        <w:t>3</w:t>
      </w:r>
      <w:r w:rsidRPr="00366055">
        <w:rPr>
          <w:i/>
          <w:color w:val="7030A0"/>
        </w:rPr>
        <w:t xml:space="preserve">: </w:t>
      </w:r>
      <w:r>
        <w:rPr>
          <w:i/>
          <w:color w:val="7030A0"/>
        </w:rPr>
        <w:t>Storing non-hazardous wastes and liquids</w:t>
      </w:r>
      <w:r w:rsidRPr="00366055">
        <w:rPr>
          <w:i/>
          <w:color w:val="7030A0"/>
        </w:rPr>
        <w:t xml:space="preserve">, page </w:t>
      </w:r>
      <w:r>
        <w:rPr>
          <w:i/>
          <w:color w:val="7030A0"/>
        </w:rPr>
        <w:t>2</w:t>
      </w:r>
      <w:r w:rsidR="00DF36FE">
        <w:rPr>
          <w:i/>
          <w:color w:val="7030A0"/>
        </w:rPr>
        <w:t>4</w:t>
      </w:r>
    </w:p>
    <w:p w:rsidR="00366055" w:rsidRPr="0033388E" w:rsidRDefault="00366055" w:rsidP="007A48C2">
      <w:pPr>
        <w:spacing w:line="240" w:lineRule="auto"/>
      </w:pPr>
      <w:r w:rsidRPr="0033388E">
        <w:t xml:space="preserve">All liquids in containers should be provided with secondary containment, unless there are appropriate measures to prevent or to minimise leakage and spillage from the primary container. </w:t>
      </w:r>
    </w:p>
    <w:p w:rsidR="00366055" w:rsidRPr="00366055" w:rsidRDefault="00366055" w:rsidP="007A48C2">
      <w:pPr>
        <w:spacing w:line="240" w:lineRule="auto"/>
      </w:pPr>
      <w:r w:rsidRPr="00366055">
        <w:t>All plant should be subject to a regular inspection and maintenance programme.</w:t>
      </w:r>
    </w:p>
    <w:p w:rsidR="00366055" w:rsidRPr="00366055" w:rsidRDefault="00366055" w:rsidP="007A48C2">
      <w:pPr>
        <w:spacing w:line="240" w:lineRule="auto"/>
        <w:rPr>
          <w:sz w:val="24"/>
        </w:rPr>
      </w:pPr>
      <w:r w:rsidRPr="00366055">
        <w:t>Underground or partially underground vessels without secondary containment should be scheduled for replacement with above ground structures e.g. double- skinned vessels with leakage detection.</w:t>
      </w:r>
    </w:p>
    <w:p w:rsidR="00366055" w:rsidRDefault="00366055" w:rsidP="007A48C2">
      <w:pPr>
        <w:spacing w:line="240" w:lineRule="auto"/>
        <w:rPr>
          <w:i/>
          <w:color w:val="7030A0"/>
        </w:rPr>
      </w:pPr>
      <w:r w:rsidRPr="00366055">
        <w:rPr>
          <w:i/>
          <w:color w:val="7030A0"/>
        </w:rPr>
        <w:t xml:space="preserve">Section </w:t>
      </w:r>
      <w:r>
        <w:rPr>
          <w:i/>
          <w:color w:val="7030A0"/>
        </w:rPr>
        <w:t>3</w:t>
      </w:r>
      <w:r w:rsidRPr="00366055">
        <w:rPr>
          <w:i/>
          <w:color w:val="7030A0"/>
        </w:rPr>
        <w:t xml:space="preserve">: </w:t>
      </w:r>
      <w:r>
        <w:rPr>
          <w:i/>
          <w:color w:val="7030A0"/>
        </w:rPr>
        <w:t>Storing Combustible Waste</w:t>
      </w:r>
      <w:r w:rsidRPr="00366055">
        <w:rPr>
          <w:i/>
          <w:color w:val="7030A0"/>
        </w:rPr>
        <w:t xml:space="preserve">, page </w:t>
      </w:r>
      <w:r>
        <w:rPr>
          <w:i/>
          <w:color w:val="7030A0"/>
        </w:rPr>
        <w:t>2</w:t>
      </w:r>
      <w:r w:rsidR="00DF36FE">
        <w:rPr>
          <w:i/>
          <w:color w:val="7030A0"/>
        </w:rPr>
        <w:t>5</w:t>
      </w:r>
    </w:p>
    <w:p w:rsidR="00366055" w:rsidRDefault="00366055" w:rsidP="007A48C2">
      <w:pPr>
        <w:pStyle w:val="ListParagraph"/>
        <w:numPr>
          <w:ilvl w:val="0"/>
          <w:numId w:val="22"/>
        </w:numPr>
        <w:spacing w:line="240" w:lineRule="auto"/>
      </w:pPr>
      <w:r>
        <w:t xml:space="preserve">Safeguards for managing the storage of combustible waste includes: </w:t>
      </w:r>
    </w:p>
    <w:p w:rsidR="00366055" w:rsidRDefault="00366055" w:rsidP="007A48C2">
      <w:pPr>
        <w:pStyle w:val="ListParagraph"/>
        <w:numPr>
          <w:ilvl w:val="1"/>
          <w:numId w:val="22"/>
        </w:numPr>
        <w:spacing w:line="240" w:lineRule="auto"/>
      </w:pPr>
      <w:r>
        <w:t>Minimising pile sizes.</w:t>
      </w:r>
    </w:p>
    <w:p w:rsidR="00366055" w:rsidRDefault="00366055" w:rsidP="007A48C2">
      <w:pPr>
        <w:pStyle w:val="ListParagraph"/>
        <w:numPr>
          <w:ilvl w:val="1"/>
          <w:numId w:val="22"/>
        </w:numPr>
        <w:spacing w:line="240" w:lineRule="auto"/>
      </w:pPr>
      <w:r>
        <w:t>Storing waste materials in their largest form.</w:t>
      </w:r>
    </w:p>
    <w:p w:rsidR="00366055" w:rsidRDefault="00366055" w:rsidP="007A48C2">
      <w:pPr>
        <w:pStyle w:val="ListParagraph"/>
        <w:numPr>
          <w:ilvl w:val="1"/>
          <w:numId w:val="22"/>
        </w:numPr>
        <w:spacing w:line="240" w:lineRule="auto"/>
      </w:pPr>
      <w:r>
        <w:t>Setting a maximum storage time for all materials on site.</w:t>
      </w:r>
    </w:p>
    <w:p w:rsidR="00366055" w:rsidRPr="00366055" w:rsidRDefault="00366055" w:rsidP="007A48C2">
      <w:pPr>
        <w:pStyle w:val="ListParagraph"/>
        <w:numPr>
          <w:ilvl w:val="0"/>
          <w:numId w:val="22"/>
        </w:numPr>
        <w:spacing w:line="240" w:lineRule="auto"/>
      </w:pPr>
      <w:r w:rsidRPr="00366055">
        <w:t>A quarantine area can be used to place fire affected waste to ensure that it is fully extinguished.</w:t>
      </w:r>
    </w:p>
    <w:p w:rsidR="00366055" w:rsidRPr="00366055" w:rsidRDefault="00366055" w:rsidP="007A48C2">
      <w:pPr>
        <w:pStyle w:val="ListParagraph"/>
        <w:numPr>
          <w:ilvl w:val="0"/>
          <w:numId w:val="22"/>
        </w:numPr>
        <w:spacing w:line="240" w:lineRule="auto"/>
      </w:pPr>
      <w:r w:rsidRPr="00366055">
        <w:t xml:space="preserve">Alternatively, </w:t>
      </w:r>
      <w:proofErr w:type="spellStart"/>
      <w:r w:rsidRPr="00366055">
        <w:t>unburnt</w:t>
      </w:r>
      <w:proofErr w:type="spellEnd"/>
      <w:r w:rsidRPr="00366055">
        <w:t xml:space="preserve"> wastes can be moved to the quarantine area for isolation to prevent them catching fire.</w:t>
      </w:r>
    </w:p>
    <w:p w:rsidR="00366055" w:rsidRPr="00A737A7" w:rsidRDefault="00366055" w:rsidP="007A48C2">
      <w:pPr>
        <w:pStyle w:val="ListParagraph"/>
        <w:numPr>
          <w:ilvl w:val="0"/>
          <w:numId w:val="22"/>
        </w:numPr>
        <w:spacing w:line="240" w:lineRule="auto"/>
        <w:rPr>
          <w:i/>
          <w:sz w:val="24"/>
        </w:rPr>
      </w:pPr>
      <w:r w:rsidRPr="00AC6F61">
        <w:t>It should therefore hold 50% of the volume of the largest stock and have a separation distance of at least 6m around the quarantined waste.</w:t>
      </w:r>
    </w:p>
    <w:p w:rsidR="007A48C2" w:rsidRDefault="007A48C2" w:rsidP="007A48C2">
      <w:pPr>
        <w:spacing w:line="240" w:lineRule="auto"/>
        <w:rPr>
          <w:i/>
          <w:color w:val="7030A0"/>
        </w:rPr>
      </w:pPr>
    </w:p>
    <w:p w:rsidR="00A737A7" w:rsidRDefault="00A737A7" w:rsidP="007A48C2">
      <w:pPr>
        <w:spacing w:line="240" w:lineRule="auto"/>
        <w:rPr>
          <w:i/>
          <w:color w:val="7030A0"/>
        </w:rPr>
      </w:pPr>
    </w:p>
    <w:p w:rsidR="00366055" w:rsidRDefault="00366055" w:rsidP="007A48C2">
      <w:pPr>
        <w:spacing w:line="240" w:lineRule="auto"/>
        <w:rPr>
          <w:i/>
          <w:color w:val="7030A0"/>
        </w:rPr>
      </w:pPr>
      <w:r w:rsidRPr="00366055">
        <w:rPr>
          <w:i/>
          <w:color w:val="7030A0"/>
        </w:rPr>
        <w:t xml:space="preserve">Section </w:t>
      </w:r>
      <w:r>
        <w:rPr>
          <w:i/>
          <w:color w:val="7030A0"/>
        </w:rPr>
        <w:t>4</w:t>
      </w:r>
      <w:r w:rsidRPr="00366055">
        <w:rPr>
          <w:i/>
          <w:color w:val="7030A0"/>
        </w:rPr>
        <w:t xml:space="preserve">: </w:t>
      </w:r>
      <w:r>
        <w:rPr>
          <w:i/>
          <w:color w:val="7030A0"/>
        </w:rPr>
        <w:t xml:space="preserve">Causes and </w:t>
      </w:r>
      <w:r w:rsidR="00AC6F61">
        <w:rPr>
          <w:i/>
          <w:color w:val="7030A0"/>
        </w:rPr>
        <w:t>T</w:t>
      </w:r>
      <w:r>
        <w:rPr>
          <w:i/>
          <w:color w:val="7030A0"/>
        </w:rPr>
        <w:t>raining</w:t>
      </w:r>
      <w:r w:rsidR="00A737A7">
        <w:rPr>
          <w:i/>
          <w:color w:val="7030A0"/>
        </w:rPr>
        <w:t xml:space="preserve"> </w:t>
      </w:r>
      <w:r w:rsidR="00AC6F61">
        <w:rPr>
          <w:i/>
          <w:color w:val="7030A0"/>
        </w:rPr>
        <w:t>N</w:t>
      </w:r>
      <w:r>
        <w:rPr>
          <w:i/>
          <w:color w:val="7030A0"/>
        </w:rPr>
        <w:t>eeds</w:t>
      </w:r>
      <w:r w:rsidRPr="00366055">
        <w:rPr>
          <w:i/>
          <w:color w:val="7030A0"/>
        </w:rPr>
        <w:t>, page 2</w:t>
      </w:r>
      <w:r w:rsidR="00DF36FE">
        <w:rPr>
          <w:i/>
          <w:color w:val="7030A0"/>
        </w:rPr>
        <w:t>9</w:t>
      </w:r>
    </w:p>
    <w:p w:rsidR="007A48C2" w:rsidRDefault="00366055" w:rsidP="007A48C2">
      <w:pPr>
        <w:spacing w:line="240" w:lineRule="auto"/>
      </w:pPr>
      <w:r>
        <w:t>According to Health and Safety Executive guidance, some employees have particular training needs. For example:</w:t>
      </w:r>
    </w:p>
    <w:p w:rsidR="00366055" w:rsidRDefault="00366055" w:rsidP="007A48C2">
      <w:pPr>
        <w:pStyle w:val="ListParagraph"/>
        <w:numPr>
          <w:ilvl w:val="0"/>
          <w:numId w:val="23"/>
        </w:numPr>
        <w:spacing w:line="240" w:lineRule="auto"/>
      </w:pPr>
      <w:r>
        <w:t>New recruits need a basic induction and safety training.</w:t>
      </w:r>
    </w:p>
    <w:p w:rsidR="00366055" w:rsidRDefault="00366055" w:rsidP="007A48C2">
      <w:pPr>
        <w:pStyle w:val="ListParagraph"/>
        <w:numPr>
          <w:ilvl w:val="0"/>
          <w:numId w:val="23"/>
        </w:numPr>
        <w:spacing w:line="240" w:lineRule="auto"/>
      </w:pPr>
      <w:r>
        <w:t>People changing jobs need to know about any new health and safety implications.</w:t>
      </w:r>
    </w:p>
    <w:p w:rsidR="00366055" w:rsidRDefault="00366055" w:rsidP="007A48C2">
      <w:pPr>
        <w:pStyle w:val="ListParagraph"/>
        <w:numPr>
          <w:ilvl w:val="0"/>
          <w:numId w:val="23"/>
        </w:numPr>
        <w:spacing w:line="240" w:lineRule="auto"/>
      </w:pPr>
      <w:r>
        <w:t>Inexperienced and young employees should be trained as a priority and carefully supervised</w:t>
      </w:r>
      <w:r w:rsidR="00AC6F61">
        <w:t>,</w:t>
      </w:r>
      <w:r>
        <w:t xml:space="preserve"> as they are more prone to accidents.</w:t>
      </w:r>
    </w:p>
    <w:p w:rsidR="00366055" w:rsidRPr="00366055" w:rsidRDefault="00366055" w:rsidP="007A48C2">
      <w:pPr>
        <w:pStyle w:val="ListParagraph"/>
        <w:numPr>
          <w:ilvl w:val="0"/>
          <w:numId w:val="23"/>
        </w:numPr>
        <w:spacing w:line="240" w:lineRule="auto"/>
      </w:pPr>
      <w:r>
        <w:t>Experienced staff may require refresher training.</w:t>
      </w:r>
    </w:p>
    <w:p w:rsidR="00DF36FE" w:rsidRDefault="00366055" w:rsidP="007A48C2">
      <w:pPr>
        <w:spacing w:line="240" w:lineRule="auto"/>
        <w:rPr>
          <w:i/>
          <w:color w:val="7030A0"/>
        </w:rPr>
      </w:pPr>
      <w:r w:rsidRPr="00366055">
        <w:rPr>
          <w:i/>
          <w:color w:val="7030A0"/>
        </w:rPr>
        <w:t xml:space="preserve">Section </w:t>
      </w:r>
      <w:r>
        <w:rPr>
          <w:i/>
          <w:color w:val="7030A0"/>
        </w:rPr>
        <w:t>4</w:t>
      </w:r>
      <w:r w:rsidRPr="00366055">
        <w:rPr>
          <w:i/>
          <w:color w:val="7030A0"/>
        </w:rPr>
        <w:t xml:space="preserve">: </w:t>
      </w:r>
      <w:r>
        <w:rPr>
          <w:i/>
          <w:color w:val="7030A0"/>
        </w:rPr>
        <w:t>Prevention</w:t>
      </w:r>
      <w:r w:rsidR="00DF36FE">
        <w:rPr>
          <w:i/>
          <w:color w:val="7030A0"/>
        </w:rPr>
        <w:t>, page 30</w:t>
      </w:r>
    </w:p>
    <w:p w:rsidR="00366055" w:rsidRDefault="00366055" w:rsidP="007A48C2">
      <w:pPr>
        <w:spacing w:line="240" w:lineRule="auto"/>
      </w:pPr>
      <w:r>
        <w:t>The objectives of an emergency plan are:</w:t>
      </w:r>
    </w:p>
    <w:p w:rsidR="00366055" w:rsidRDefault="00366055" w:rsidP="007A48C2">
      <w:pPr>
        <w:pStyle w:val="ListParagraph"/>
        <w:numPr>
          <w:ilvl w:val="0"/>
          <w:numId w:val="24"/>
        </w:numPr>
        <w:spacing w:line="240" w:lineRule="auto"/>
      </w:pPr>
      <w:r>
        <w:t>Contain and control incidents to minimise effects.</w:t>
      </w:r>
    </w:p>
    <w:p w:rsidR="00366055" w:rsidRDefault="00366055" w:rsidP="007A48C2">
      <w:pPr>
        <w:pStyle w:val="ListParagraph"/>
        <w:numPr>
          <w:ilvl w:val="0"/>
          <w:numId w:val="24"/>
        </w:numPr>
        <w:spacing w:line="240" w:lineRule="auto"/>
      </w:pPr>
      <w:r>
        <w:t>Implement measures to protect people and the environment.</w:t>
      </w:r>
    </w:p>
    <w:p w:rsidR="00366055" w:rsidRDefault="00366055" w:rsidP="007A48C2">
      <w:pPr>
        <w:pStyle w:val="ListParagraph"/>
        <w:numPr>
          <w:ilvl w:val="0"/>
          <w:numId w:val="24"/>
        </w:numPr>
        <w:spacing w:line="240" w:lineRule="auto"/>
      </w:pPr>
      <w:r>
        <w:t>Communicate information to the public and emergency services.</w:t>
      </w:r>
    </w:p>
    <w:p w:rsidR="007A48C2" w:rsidRPr="007A48C2" w:rsidRDefault="00366055" w:rsidP="007A48C2">
      <w:pPr>
        <w:pStyle w:val="ListParagraph"/>
        <w:numPr>
          <w:ilvl w:val="0"/>
          <w:numId w:val="24"/>
        </w:numPr>
        <w:spacing w:line="240" w:lineRule="auto"/>
      </w:pPr>
      <w:r>
        <w:t>Provide for the restoration and clean-up of the environment following a major accident.</w:t>
      </w:r>
    </w:p>
    <w:p w:rsidR="00366055" w:rsidRPr="00366055" w:rsidRDefault="00366055" w:rsidP="007A48C2">
      <w:pPr>
        <w:spacing w:line="240" w:lineRule="auto"/>
        <w:rPr>
          <w:i/>
          <w:color w:val="7030A0"/>
        </w:rPr>
      </w:pPr>
      <w:r w:rsidRPr="00366055">
        <w:rPr>
          <w:i/>
          <w:color w:val="7030A0"/>
        </w:rPr>
        <w:t xml:space="preserve">Section </w:t>
      </w:r>
      <w:r>
        <w:rPr>
          <w:i/>
          <w:color w:val="7030A0"/>
        </w:rPr>
        <w:t>5</w:t>
      </w:r>
      <w:r w:rsidRPr="00366055">
        <w:rPr>
          <w:i/>
          <w:color w:val="7030A0"/>
        </w:rPr>
        <w:t xml:space="preserve">: </w:t>
      </w:r>
      <w:r>
        <w:rPr>
          <w:i/>
          <w:color w:val="7030A0"/>
        </w:rPr>
        <w:t>Training and Control Measures</w:t>
      </w:r>
      <w:r w:rsidRPr="00366055">
        <w:rPr>
          <w:i/>
          <w:color w:val="7030A0"/>
        </w:rPr>
        <w:t xml:space="preserve">, page </w:t>
      </w:r>
      <w:r>
        <w:rPr>
          <w:i/>
          <w:color w:val="7030A0"/>
        </w:rPr>
        <w:t>3</w:t>
      </w:r>
      <w:r w:rsidR="00DF36FE">
        <w:rPr>
          <w:i/>
          <w:color w:val="7030A0"/>
        </w:rPr>
        <w:t>4</w:t>
      </w:r>
    </w:p>
    <w:p w:rsidR="007A48C2" w:rsidRPr="007A48C2" w:rsidRDefault="007A48C2" w:rsidP="007A48C2">
      <w:pPr>
        <w:rPr>
          <w:b/>
          <w:color w:val="7030A0"/>
        </w:rPr>
      </w:pPr>
      <w:r w:rsidRPr="007A48C2">
        <w:rPr>
          <w:b/>
          <w:color w:val="7030A0"/>
        </w:rPr>
        <w:t>Identifying Training Needs</w:t>
      </w:r>
    </w:p>
    <w:p w:rsidR="007A48C2" w:rsidRDefault="007A48C2" w:rsidP="007A48C2">
      <w:pPr>
        <w:pStyle w:val="ListParagraph"/>
        <w:numPr>
          <w:ilvl w:val="0"/>
          <w:numId w:val="25"/>
        </w:numPr>
        <w:spacing w:line="240" w:lineRule="auto"/>
        <w:rPr>
          <w:color w:val="000000" w:themeColor="text1"/>
        </w:rPr>
      </w:pPr>
      <w:r>
        <w:rPr>
          <w:color w:val="000000" w:themeColor="text1"/>
        </w:rPr>
        <w:t>Identify the skills and knowledge needed for people to do their job in a safe and healthy way. Compare these against people’s current skills and knowledge and identify the gaps.</w:t>
      </w:r>
    </w:p>
    <w:p w:rsidR="007A48C2" w:rsidRDefault="007A48C2" w:rsidP="007A48C2">
      <w:pPr>
        <w:pStyle w:val="ListParagraph"/>
        <w:numPr>
          <w:ilvl w:val="0"/>
          <w:numId w:val="25"/>
        </w:numPr>
        <w:spacing w:line="240" w:lineRule="auto"/>
        <w:rPr>
          <w:color w:val="000000" w:themeColor="text1"/>
        </w:rPr>
      </w:pPr>
      <w:r>
        <w:rPr>
          <w:color w:val="000000" w:themeColor="text1"/>
        </w:rPr>
        <w:t>Review the organisation’s experience of injuries, near misses or cases of ill health.</w:t>
      </w:r>
    </w:p>
    <w:p w:rsidR="007A48C2" w:rsidRDefault="007A48C2" w:rsidP="007A48C2">
      <w:pPr>
        <w:pStyle w:val="ListParagraph"/>
        <w:numPr>
          <w:ilvl w:val="0"/>
          <w:numId w:val="25"/>
        </w:numPr>
        <w:spacing w:line="240" w:lineRule="auto"/>
        <w:rPr>
          <w:color w:val="000000" w:themeColor="text1"/>
        </w:rPr>
      </w:pPr>
      <w:r>
        <w:rPr>
          <w:color w:val="000000" w:themeColor="text1"/>
        </w:rPr>
        <w:t>Look at the risk assessments to see where information and/or training have been identified as factors in controlling risks.</w:t>
      </w:r>
    </w:p>
    <w:p w:rsidR="007A48C2" w:rsidRPr="000A0D39" w:rsidRDefault="007A48C2" w:rsidP="007A48C2">
      <w:pPr>
        <w:pStyle w:val="ListParagraph"/>
        <w:numPr>
          <w:ilvl w:val="0"/>
          <w:numId w:val="25"/>
        </w:numPr>
        <w:spacing w:line="240" w:lineRule="auto"/>
        <w:rPr>
          <w:color w:val="000000" w:themeColor="text1"/>
        </w:rPr>
      </w:pPr>
      <w:r>
        <w:rPr>
          <w:color w:val="000000" w:themeColor="text1"/>
        </w:rPr>
        <w:t>Consider awareness training needs for everyone, including directors, managers and supervisors.</w:t>
      </w:r>
    </w:p>
    <w:p w:rsidR="007A48C2" w:rsidRDefault="007A48C2" w:rsidP="007A48C2">
      <w:pPr>
        <w:rPr>
          <w:b/>
          <w:color w:val="7030A0"/>
        </w:rPr>
      </w:pPr>
    </w:p>
    <w:p w:rsidR="007A48C2" w:rsidRDefault="007A48C2" w:rsidP="007A48C2">
      <w:pPr>
        <w:rPr>
          <w:b/>
          <w:color w:val="7030A0"/>
        </w:rPr>
      </w:pPr>
    </w:p>
    <w:p w:rsidR="007A48C2" w:rsidRPr="007A48C2" w:rsidRDefault="007A48C2" w:rsidP="007A48C2">
      <w:pPr>
        <w:rPr>
          <w:b/>
          <w:color w:val="7030A0"/>
        </w:rPr>
      </w:pPr>
      <w:r w:rsidRPr="007A48C2">
        <w:rPr>
          <w:b/>
          <w:color w:val="7030A0"/>
        </w:rPr>
        <w:t>Notifications</w:t>
      </w:r>
    </w:p>
    <w:p w:rsidR="007A48C2" w:rsidRPr="002128DB" w:rsidRDefault="007A48C2" w:rsidP="007A48C2">
      <w:pPr>
        <w:spacing w:line="240" w:lineRule="auto"/>
        <w:rPr>
          <w:color w:val="000000" w:themeColor="text1"/>
        </w:rPr>
      </w:pPr>
      <w:r>
        <w:rPr>
          <w:color w:val="000000" w:themeColor="text1"/>
        </w:rPr>
        <w:t>The environmental regulator should be notified without delay following the detection of:</w:t>
      </w:r>
    </w:p>
    <w:p w:rsidR="007A48C2" w:rsidRDefault="007A48C2" w:rsidP="007A48C2">
      <w:pPr>
        <w:pStyle w:val="ListParagraph"/>
        <w:numPr>
          <w:ilvl w:val="0"/>
          <w:numId w:val="26"/>
        </w:numPr>
        <w:spacing w:line="240" w:lineRule="auto"/>
        <w:rPr>
          <w:color w:val="000000" w:themeColor="text1"/>
        </w:rPr>
      </w:pPr>
      <w:r>
        <w:rPr>
          <w:color w:val="000000" w:themeColor="text1"/>
        </w:rPr>
        <w:t>Any malfunction, breakdown or failure of equipment or techniques, accident, or emission of a substance not controlled by an emissions limit which is</w:t>
      </w:r>
      <w:r w:rsidR="00211E64">
        <w:rPr>
          <w:color w:val="000000" w:themeColor="text1"/>
        </w:rPr>
        <w:t>,</w:t>
      </w:r>
      <w:r>
        <w:rPr>
          <w:color w:val="000000" w:themeColor="text1"/>
        </w:rPr>
        <w:t xml:space="preserve"> or may cause</w:t>
      </w:r>
      <w:r w:rsidR="00211E64">
        <w:rPr>
          <w:color w:val="000000" w:themeColor="text1"/>
        </w:rPr>
        <w:t>,</w:t>
      </w:r>
      <w:r>
        <w:rPr>
          <w:color w:val="000000" w:themeColor="text1"/>
        </w:rPr>
        <w:t xml:space="preserve"> pollution.</w:t>
      </w:r>
    </w:p>
    <w:p w:rsidR="007A48C2" w:rsidRDefault="007A48C2" w:rsidP="007A48C2">
      <w:pPr>
        <w:pStyle w:val="ListParagraph"/>
        <w:numPr>
          <w:ilvl w:val="0"/>
          <w:numId w:val="26"/>
        </w:numPr>
        <w:spacing w:line="240" w:lineRule="auto"/>
        <w:rPr>
          <w:color w:val="000000" w:themeColor="text1"/>
        </w:rPr>
      </w:pPr>
      <w:r>
        <w:rPr>
          <w:color w:val="000000" w:themeColor="text1"/>
        </w:rPr>
        <w:t>The breach of a limit specified in the permit.</w:t>
      </w:r>
    </w:p>
    <w:p w:rsidR="007A48C2" w:rsidRPr="002128DB" w:rsidRDefault="007A48C2" w:rsidP="007A48C2">
      <w:pPr>
        <w:pStyle w:val="ListParagraph"/>
        <w:numPr>
          <w:ilvl w:val="0"/>
          <w:numId w:val="26"/>
        </w:numPr>
        <w:spacing w:line="240" w:lineRule="auto"/>
        <w:rPr>
          <w:color w:val="000000" w:themeColor="text1"/>
        </w:rPr>
      </w:pPr>
      <w:r>
        <w:rPr>
          <w:color w:val="000000" w:themeColor="text1"/>
        </w:rPr>
        <w:t>Any significant adverse environmental effects.</w:t>
      </w:r>
    </w:p>
    <w:p w:rsidR="00F9256E" w:rsidRPr="007A48C2" w:rsidRDefault="007A48C2" w:rsidP="00F9256E">
      <w:pPr>
        <w:rPr>
          <w:b/>
          <w:color w:val="7030A0"/>
        </w:rPr>
      </w:pPr>
      <w:r w:rsidRPr="007A48C2">
        <w:rPr>
          <w:b/>
          <w:color w:val="7030A0"/>
        </w:rPr>
        <w:t>Hierarchy of Control Measures</w:t>
      </w:r>
    </w:p>
    <w:p w:rsidR="007A48C2" w:rsidRPr="007A48C2" w:rsidRDefault="007A48C2" w:rsidP="00F9256E">
      <w:pPr>
        <w:rPr>
          <w:b/>
        </w:rPr>
      </w:pPr>
      <w:r>
        <w:rPr>
          <w:noProof/>
          <w:lang w:eastAsia="en-GB"/>
        </w:rPr>
        <w:drawing>
          <wp:anchor distT="0" distB="0" distL="114300" distR="114300" simplePos="0" relativeHeight="251659264" behindDoc="0" locked="0" layoutInCell="1" allowOverlap="1" wp14:anchorId="26B9C849" wp14:editId="404571AF">
            <wp:simplePos x="0" y="0"/>
            <wp:positionH relativeFrom="column">
              <wp:posOffset>-156276</wp:posOffset>
            </wp:positionH>
            <wp:positionV relativeFrom="paragraph">
              <wp:posOffset>-2730</wp:posOffset>
            </wp:positionV>
            <wp:extent cx="3398292" cy="3002508"/>
            <wp:effectExtent l="57150" t="19050" r="50165" b="83820"/>
            <wp:wrapNone/>
            <wp:docPr id="464" name="Diagram 4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F9256E" w:rsidRDefault="00F9256E" w:rsidP="00972763"/>
    <w:p w:rsidR="007A48C2" w:rsidRDefault="007A48C2" w:rsidP="00972763"/>
    <w:p w:rsidR="007A48C2" w:rsidRDefault="007A48C2" w:rsidP="00972763"/>
    <w:p w:rsidR="007A48C2" w:rsidRDefault="007A48C2" w:rsidP="00972763"/>
    <w:p w:rsidR="007A48C2" w:rsidRDefault="007A48C2" w:rsidP="00972763"/>
    <w:p w:rsidR="007A48C2" w:rsidRDefault="007A48C2" w:rsidP="00972763"/>
    <w:p w:rsidR="007A48C2" w:rsidRDefault="007A48C2" w:rsidP="00972763"/>
    <w:p w:rsidR="007A48C2" w:rsidRDefault="007A48C2" w:rsidP="00972763"/>
    <w:p w:rsidR="007A48C2" w:rsidRDefault="007A48C2" w:rsidP="00972763"/>
    <w:p w:rsidR="007A48C2" w:rsidRDefault="007A48C2" w:rsidP="007A48C2">
      <w:pPr>
        <w:spacing w:line="240" w:lineRule="auto"/>
        <w:rPr>
          <w:i/>
          <w:color w:val="7030A0"/>
        </w:rPr>
      </w:pPr>
      <w:r w:rsidRPr="00366055">
        <w:rPr>
          <w:i/>
          <w:color w:val="7030A0"/>
        </w:rPr>
        <w:t xml:space="preserve">Section </w:t>
      </w:r>
      <w:r>
        <w:rPr>
          <w:i/>
          <w:color w:val="7030A0"/>
        </w:rPr>
        <w:t>5</w:t>
      </w:r>
      <w:r w:rsidRPr="00366055">
        <w:rPr>
          <w:i/>
          <w:color w:val="7030A0"/>
        </w:rPr>
        <w:t xml:space="preserve">: </w:t>
      </w:r>
      <w:r>
        <w:rPr>
          <w:i/>
          <w:color w:val="7030A0"/>
        </w:rPr>
        <w:t>Health Surveillance</w:t>
      </w:r>
      <w:r w:rsidRPr="00366055">
        <w:rPr>
          <w:i/>
          <w:color w:val="7030A0"/>
        </w:rPr>
        <w:t xml:space="preserve">, page </w:t>
      </w:r>
      <w:r>
        <w:rPr>
          <w:i/>
          <w:color w:val="7030A0"/>
        </w:rPr>
        <w:t>35</w:t>
      </w:r>
    </w:p>
    <w:p w:rsidR="007A48C2" w:rsidRDefault="007A48C2" w:rsidP="007A48C2">
      <w:pPr>
        <w:spacing w:line="240" w:lineRule="auto"/>
        <w:rPr>
          <w:color w:val="000000" w:themeColor="text1"/>
        </w:rPr>
      </w:pPr>
      <w:r>
        <w:rPr>
          <w:color w:val="000000" w:themeColor="text1"/>
        </w:rPr>
        <w:t>Health Surveillance is required if employees are at risk from:</w:t>
      </w:r>
    </w:p>
    <w:p w:rsidR="007A48C2" w:rsidRDefault="007A48C2" w:rsidP="007A48C2">
      <w:pPr>
        <w:pStyle w:val="ListParagraph"/>
        <w:numPr>
          <w:ilvl w:val="0"/>
          <w:numId w:val="26"/>
        </w:numPr>
        <w:spacing w:line="240" w:lineRule="auto"/>
        <w:rPr>
          <w:color w:val="000000" w:themeColor="text1"/>
        </w:rPr>
      </w:pPr>
      <w:r>
        <w:rPr>
          <w:color w:val="000000" w:themeColor="text1"/>
        </w:rPr>
        <w:t>Noise or vibration.</w:t>
      </w:r>
    </w:p>
    <w:p w:rsidR="007A48C2" w:rsidRDefault="007A48C2" w:rsidP="007A48C2">
      <w:pPr>
        <w:pStyle w:val="ListParagraph"/>
        <w:numPr>
          <w:ilvl w:val="0"/>
          <w:numId w:val="26"/>
        </w:numPr>
        <w:spacing w:line="240" w:lineRule="auto"/>
        <w:rPr>
          <w:color w:val="000000" w:themeColor="text1"/>
        </w:rPr>
      </w:pPr>
      <w:r>
        <w:rPr>
          <w:color w:val="000000" w:themeColor="text1"/>
        </w:rPr>
        <w:t>Solvents, dusts, fumes, biological agents and other substances hazardous to health.</w:t>
      </w:r>
    </w:p>
    <w:p w:rsidR="007A48C2" w:rsidRDefault="007A48C2" w:rsidP="007A48C2">
      <w:pPr>
        <w:pStyle w:val="ListParagraph"/>
        <w:numPr>
          <w:ilvl w:val="0"/>
          <w:numId w:val="26"/>
        </w:numPr>
        <w:spacing w:line="240" w:lineRule="auto"/>
        <w:rPr>
          <w:color w:val="000000" w:themeColor="text1"/>
        </w:rPr>
      </w:pPr>
      <w:r>
        <w:rPr>
          <w:color w:val="000000" w:themeColor="text1"/>
        </w:rPr>
        <w:t xml:space="preserve">Asbestos, lead or compressed air. </w:t>
      </w:r>
    </w:p>
    <w:p w:rsidR="007A48C2" w:rsidRPr="002128DB" w:rsidRDefault="007A48C2" w:rsidP="007A48C2">
      <w:pPr>
        <w:pStyle w:val="ListParagraph"/>
        <w:numPr>
          <w:ilvl w:val="0"/>
          <w:numId w:val="26"/>
        </w:numPr>
        <w:spacing w:line="240" w:lineRule="auto"/>
        <w:rPr>
          <w:color w:val="000000" w:themeColor="text1"/>
        </w:rPr>
      </w:pPr>
      <w:r>
        <w:rPr>
          <w:color w:val="000000" w:themeColor="text1"/>
        </w:rPr>
        <w:t>Ionising radiation.</w:t>
      </w:r>
    </w:p>
    <w:p w:rsidR="007A48C2" w:rsidRPr="00366055" w:rsidRDefault="007A48C2" w:rsidP="007A48C2">
      <w:pPr>
        <w:spacing w:line="240" w:lineRule="auto"/>
        <w:rPr>
          <w:i/>
          <w:color w:val="7030A0"/>
        </w:rPr>
      </w:pPr>
    </w:p>
    <w:p w:rsidR="007A48C2" w:rsidRDefault="007A48C2" w:rsidP="00972763">
      <w:pPr>
        <w:sectPr w:rsidR="007A48C2" w:rsidSect="00033393">
          <w:headerReference w:type="default" r:id="rId14"/>
          <w:footerReference w:type="default" r:id="rId15"/>
          <w:pgSz w:w="11906" w:h="16838"/>
          <w:pgMar w:top="1440" w:right="1440" w:bottom="1440" w:left="1440" w:header="708" w:footer="708" w:gutter="0"/>
          <w:cols w:num="2" w:space="708"/>
          <w:docGrid w:linePitch="360"/>
        </w:sectPr>
      </w:pPr>
    </w:p>
    <w:p w:rsidR="009B5506" w:rsidRPr="00245F46" w:rsidRDefault="009B5506" w:rsidP="009253D5">
      <w:pPr>
        <w:spacing w:before="240" w:after="0"/>
        <w:rPr>
          <w:i/>
          <w:color w:val="7030A0"/>
          <w:sz w:val="14"/>
        </w:rPr>
      </w:pPr>
    </w:p>
    <w:p w:rsidR="00C02BF3" w:rsidRPr="00C02BF3" w:rsidRDefault="00C02BF3" w:rsidP="00117673">
      <w:pPr>
        <w:spacing w:after="0"/>
        <w:rPr>
          <w:i/>
          <w:color w:val="7030A0"/>
        </w:rPr>
      </w:pPr>
      <w:r>
        <w:rPr>
          <w:i/>
          <w:color w:val="7030A0"/>
        </w:rPr>
        <w:t>Revised List of Sources</w:t>
      </w:r>
    </w:p>
    <w:tbl>
      <w:tblPr>
        <w:tblStyle w:val="LightShading-Accent4"/>
        <w:tblW w:w="5201" w:type="pct"/>
        <w:tblInd w:w="-176" w:type="dxa"/>
        <w:tblLayout w:type="fixed"/>
        <w:tblLook w:val="04A0" w:firstRow="1" w:lastRow="0" w:firstColumn="1" w:lastColumn="0" w:noHBand="0" w:noVBand="1"/>
      </w:tblPr>
      <w:tblGrid>
        <w:gridCol w:w="710"/>
        <w:gridCol w:w="3841"/>
      </w:tblGrid>
      <w:tr w:rsidR="00117673" w:rsidRPr="00117673" w:rsidTr="00117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245F46">
            <w:pPr>
              <w:rPr>
                <w:color w:val="7030A0"/>
                <w:sz w:val="19"/>
                <w:szCs w:val="19"/>
              </w:rPr>
            </w:pPr>
            <w:r w:rsidRPr="00117673">
              <w:rPr>
                <w:color w:val="7030A0"/>
                <w:sz w:val="19"/>
                <w:szCs w:val="19"/>
              </w:rPr>
              <w:t>Page</w:t>
            </w:r>
          </w:p>
        </w:tc>
        <w:tc>
          <w:tcPr>
            <w:tcW w:w="4220" w:type="pct"/>
          </w:tcPr>
          <w:p w:rsidR="00117673" w:rsidRPr="00117673" w:rsidRDefault="00117673" w:rsidP="00245F46">
            <w:pPr>
              <w:cnfStyle w:val="100000000000" w:firstRow="1" w:lastRow="0" w:firstColumn="0" w:lastColumn="0" w:oddVBand="0" w:evenVBand="0" w:oddHBand="0" w:evenHBand="0" w:firstRowFirstColumn="0" w:firstRowLastColumn="0" w:lastRowFirstColumn="0" w:lastRowLastColumn="0"/>
              <w:rPr>
                <w:color w:val="7030A0"/>
                <w:sz w:val="19"/>
                <w:szCs w:val="19"/>
              </w:rPr>
            </w:pPr>
            <w:r w:rsidRPr="00117673">
              <w:rPr>
                <w:color w:val="7030A0"/>
                <w:sz w:val="19"/>
                <w:szCs w:val="19"/>
              </w:rPr>
              <w:t>Source</w:t>
            </w:r>
          </w:p>
        </w:tc>
      </w:tr>
      <w:tr w:rsidR="00117673" w:rsidRPr="00117673" w:rsidTr="00117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C00000"/>
                <w:sz w:val="19"/>
                <w:szCs w:val="19"/>
              </w:rPr>
            </w:pPr>
            <w:r w:rsidRPr="00117673">
              <w:rPr>
                <w:color w:val="7030A0"/>
                <w:sz w:val="19"/>
                <w:szCs w:val="19"/>
              </w:rPr>
              <w:t>13</w:t>
            </w:r>
          </w:p>
        </w:tc>
        <w:tc>
          <w:tcPr>
            <w:tcW w:w="4220" w:type="pct"/>
          </w:tcPr>
          <w:p w:rsidR="00117673" w:rsidRPr="00117673" w:rsidRDefault="00F1696E" w:rsidP="00117673">
            <w:pPr>
              <w:cnfStyle w:val="000000100000" w:firstRow="0" w:lastRow="0" w:firstColumn="0" w:lastColumn="0" w:oddVBand="0" w:evenVBand="0" w:oddHBand="1" w:evenHBand="0" w:firstRowFirstColumn="0" w:firstRowLastColumn="0" w:lastRowFirstColumn="0" w:lastRowLastColumn="0"/>
              <w:rPr>
                <w:sz w:val="19"/>
                <w:szCs w:val="19"/>
              </w:rPr>
            </w:pPr>
            <w:hyperlink r:id="rId16" w:history="1">
              <w:r w:rsidR="00117673" w:rsidRPr="00117673">
                <w:rPr>
                  <w:rStyle w:val="Hyperlink"/>
                  <w:sz w:val="19"/>
                  <w:szCs w:val="19"/>
                </w:rPr>
                <w:t>Environment Agency (2015) Waste Classification – Technical Guidance WM3</w:t>
              </w:r>
            </w:hyperlink>
          </w:p>
        </w:tc>
      </w:tr>
      <w:tr w:rsidR="00117673" w:rsidRPr="00117673" w:rsidTr="00117673">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C00000"/>
                <w:sz w:val="19"/>
                <w:szCs w:val="19"/>
              </w:rPr>
            </w:pPr>
            <w:r w:rsidRPr="00117673">
              <w:rPr>
                <w:color w:val="7030A0"/>
                <w:sz w:val="19"/>
                <w:szCs w:val="19"/>
              </w:rPr>
              <w:t>14</w:t>
            </w:r>
          </w:p>
        </w:tc>
        <w:tc>
          <w:tcPr>
            <w:tcW w:w="4220" w:type="pct"/>
          </w:tcPr>
          <w:p w:rsidR="00117673" w:rsidRPr="00117673" w:rsidRDefault="00F1696E" w:rsidP="00117673">
            <w:pPr>
              <w:cnfStyle w:val="000000000000" w:firstRow="0" w:lastRow="0" w:firstColumn="0" w:lastColumn="0" w:oddVBand="0" w:evenVBand="0" w:oddHBand="0" w:evenHBand="0" w:firstRowFirstColumn="0" w:firstRowLastColumn="0" w:lastRowFirstColumn="0" w:lastRowLastColumn="0"/>
              <w:rPr>
                <w:sz w:val="19"/>
                <w:szCs w:val="19"/>
              </w:rPr>
            </w:pPr>
            <w:hyperlink r:id="rId17" w:history="1">
              <w:proofErr w:type="spellStart"/>
              <w:r w:rsidR="00117673" w:rsidRPr="00117673">
                <w:rPr>
                  <w:rStyle w:val="Hyperlink"/>
                  <w:sz w:val="19"/>
                  <w:szCs w:val="19"/>
                </w:rPr>
                <w:t>Defra</w:t>
              </w:r>
              <w:proofErr w:type="spellEnd"/>
              <w:r w:rsidR="00117673" w:rsidRPr="00117673">
                <w:rPr>
                  <w:rStyle w:val="Hyperlink"/>
                  <w:sz w:val="19"/>
                  <w:szCs w:val="19"/>
                </w:rPr>
                <w:t xml:space="preserve"> (2011) Guidance on applying the waste hierarchy</w:t>
              </w:r>
            </w:hyperlink>
          </w:p>
        </w:tc>
      </w:tr>
      <w:tr w:rsidR="00117673" w:rsidRPr="00117673" w:rsidTr="00117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C00000"/>
                <w:sz w:val="19"/>
                <w:szCs w:val="19"/>
              </w:rPr>
            </w:pPr>
            <w:r w:rsidRPr="00117673">
              <w:rPr>
                <w:color w:val="7030A0"/>
                <w:sz w:val="19"/>
                <w:szCs w:val="19"/>
              </w:rPr>
              <w:t>13,15</w:t>
            </w:r>
          </w:p>
        </w:tc>
        <w:tc>
          <w:tcPr>
            <w:tcW w:w="4220" w:type="pct"/>
          </w:tcPr>
          <w:p w:rsidR="00117673" w:rsidRPr="00117673" w:rsidRDefault="00F1696E" w:rsidP="00117673">
            <w:pPr>
              <w:cnfStyle w:val="000000100000" w:firstRow="0" w:lastRow="0" w:firstColumn="0" w:lastColumn="0" w:oddVBand="0" w:evenVBand="0" w:oddHBand="1" w:evenHBand="0" w:firstRowFirstColumn="0" w:firstRowLastColumn="0" w:lastRowFirstColumn="0" w:lastRowLastColumn="0"/>
              <w:rPr>
                <w:sz w:val="19"/>
                <w:szCs w:val="19"/>
              </w:rPr>
            </w:pPr>
            <w:hyperlink r:id="rId18" w:history="1">
              <w:r w:rsidR="00117673" w:rsidRPr="00117673">
                <w:rPr>
                  <w:rStyle w:val="Hyperlink"/>
                  <w:sz w:val="19"/>
                  <w:szCs w:val="19"/>
                </w:rPr>
                <w:t>Environment Agency (2010) Waste acceptance at landfills</w:t>
              </w:r>
            </w:hyperlink>
            <w:r w:rsidR="00117673" w:rsidRPr="00117673">
              <w:rPr>
                <w:color w:val="7030A0"/>
                <w:sz w:val="19"/>
                <w:szCs w:val="19"/>
              </w:rPr>
              <w:t xml:space="preserve"> </w:t>
            </w:r>
          </w:p>
        </w:tc>
      </w:tr>
      <w:tr w:rsidR="00117673" w:rsidRPr="00117673" w:rsidTr="00117673">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rPr>
                <w:sz w:val="19"/>
                <w:szCs w:val="19"/>
              </w:rPr>
            </w:pPr>
            <w:r w:rsidRPr="00117673">
              <w:rPr>
                <w:color w:val="7030A0"/>
                <w:sz w:val="19"/>
                <w:szCs w:val="19"/>
              </w:rPr>
              <w:t>13,</w:t>
            </w:r>
          </w:p>
        </w:tc>
        <w:tc>
          <w:tcPr>
            <w:tcW w:w="4220" w:type="pct"/>
          </w:tcPr>
          <w:p w:rsidR="00117673" w:rsidRPr="00117673" w:rsidRDefault="00F1696E" w:rsidP="00117673">
            <w:pPr>
              <w:cnfStyle w:val="000000000000" w:firstRow="0" w:lastRow="0" w:firstColumn="0" w:lastColumn="0" w:oddVBand="0" w:evenVBand="0" w:oddHBand="0" w:evenHBand="0" w:firstRowFirstColumn="0" w:firstRowLastColumn="0" w:lastRowFirstColumn="0" w:lastRowLastColumn="0"/>
              <w:rPr>
                <w:sz w:val="19"/>
                <w:szCs w:val="19"/>
              </w:rPr>
            </w:pPr>
            <w:hyperlink r:id="rId19" w:history="1">
              <w:r w:rsidR="00117673" w:rsidRPr="00117673">
                <w:rPr>
                  <w:rStyle w:val="Hyperlink"/>
                  <w:sz w:val="19"/>
                  <w:szCs w:val="19"/>
                </w:rPr>
                <w:t>Environment Agency (2019) Classify different types of waste</w:t>
              </w:r>
            </w:hyperlink>
          </w:p>
        </w:tc>
      </w:tr>
      <w:tr w:rsidR="00117673" w:rsidRPr="00117673" w:rsidTr="00117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rPr>
                <w:color w:val="7030A0"/>
                <w:sz w:val="19"/>
                <w:szCs w:val="19"/>
              </w:rPr>
            </w:pPr>
            <w:r w:rsidRPr="00117673">
              <w:rPr>
                <w:color w:val="7030A0"/>
                <w:sz w:val="19"/>
                <w:szCs w:val="19"/>
              </w:rPr>
              <w:t>18,24</w:t>
            </w:r>
          </w:p>
        </w:tc>
        <w:tc>
          <w:tcPr>
            <w:tcW w:w="4220" w:type="pct"/>
          </w:tcPr>
          <w:p w:rsidR="00117673" w:rsidRPr="00117673" w:rsidRDefault="00F1696E" w:rsidP="00117673">
            <w:pPr>
              <w:cnfStyle w:val="000000100000" w:firstRow="0" w:lastRow="0" w:firstColumn="0" w:lastColumn="0" w:oddVBand="0" w:evenVBand="0" w:oddHBand="1" w:evenHBand="0" w:firstRowFirstColumn="0" w:firstRowLastColumn="0" w:lastRowFirstColumn="0" w:lastRowLastColumn="0"/>
              <w:rPr>
                <w:color w:val="943634" w:themeColor="accent2" w:themeShade="BF"/>
                <w:sz w:val="19"/>
                <w:szCs w:val="19"/>
              </w:rPr>
            </w:pPr>
            <w:hyperlink r:id="rId20" w:history="1">
              <w:r w:rsidR="00117673" w:rsidRPr="00117673">
                <w:rPr>
                  <w:rStyle w:val="Hyperlink"/>
                  <w:sz w:val="19"/>
                  <w:szCs w:val="19"/>
                </w:rPr>
                <w:t>Environment Agency (2004) Guidance for the recovery and disposal of hazardous and non-hazardous waste</w:t>
              </w:r>
            </w:hyperlink>
            <w:r w:rsidR="00117673" w:rsidRPr="00117673">
              <w:rPr>
                <w:color w:val="7030A0"/>
                <w:sz w:val="19"/>
                <w:szCs w:val="19"/>
              </w:rPr>
              <w:t xml:space="preserve"> </w:t>
            </w:r>
          </w:p>
        </w:tc>
      </w:tr>
      <w:tr w:rsidR="00117673" w:rsidRPr="00117673" w:rsidTr="00117673">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rPr>
                <w:color w:val="7030A0"/>
                <w:sz w:val="19"/>
                <w:szCs w:val="19"/>
              </w:rPr>
            </w:pPr>
            <w:r w:rsidRPr="00117673">
              <w:rPr>
                <w:color w:val="7030A0"/>
                <w:sz w:val="19"/>
                <w:szCs w:val="19"/>
              </w:rPr>
              <w:t>18</w:t>
            </w:r>
          </w:p>
        </w:tc>
        <w:tc>
          <w:tcPr>
            <w:tcW w:w="4220" w:type="pct"/>
          </w:tcPr>
          <w:p w:rsidR="00117673" w:rsidRPr="00117673" w:rsidRDefault="00F1696E" w:rsidP="00117673">
            <w:pPr>
              <w:cnfStyle w:val="000000000000" w:firstRow="0" w:lastRow="0" w:firstColumn="0" w:lastColumn="0" w:oddVBand="0" w:evenVBand="0" w:oddHBand="0" w:evenHBand="0" w:firstRowFirstColumn="0" w:firstRowLastColumn="0" w:lastRowFirstColumn="0" w:lastRowLastColumn="0"/>
              <w:rPr>
                <w:color w:val="943634" w:themeColor="accent2" w:themeShade="BF"/>
                <w:sz w:val="19"/>
                <w:szCs w:val="19"/>
              </w:rPr>
            </w:pPr>
            <w:hyperlink r:id="rId21" w:history="1">
              <w:r w:rsidR="00117673" w:rsidRPr="00117673">
                <w:rPr>
                  <w:rStyle w:val="Hyperlink"/>
                  <w:sz w:val="19"/>
                  <w:szCs w:val="19"/>
                </w:rPr>
                <w:t>Environment Agency (2011) Consignment notes: rejected consignments and movements by pipeline, ships, cross-border movements and carrier schedules</w:t>
              </w:r>
            </w:hyperlink>
            <w:r w:rsidR="00117673" w:rsidRPr="00117673">
              <w:rPr>
                <w:color w:val="7030A0"/>
                <w:sz w:val="19"/>
                <w:szCs w:val="19"/>
              </w:rPr>
              <w:t xml:space="preserve"> </w:t>
            </w:r>
          </w:p>
        </w:tc>
      </w:tr>
      <w:tr w:rsidR="00117673" w:rsidRPr="00117673" w:rsidTr="00117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rPr>
                <w:color w:val="7030A0"/>
                <w:sz w:val="19"/>
                <w:szCs w:val="19"/>
              </w:rPr>
            </w:pPr>
            <w:r w:rsidRPr="00117673">
              <w:rPr>
                <w:color w:val="7030A0"/>
                <w:sz w:val="19"/>
                <w:szCs w:val="19"/>
              </w:rPr>
              <w:t>18,19,24,26,31</w:t>
            </w:r>
          </w:p>
        </w:tc>
        <w:tc>
          <w:tcPr>
            <w:tcW w:w="4220" w:type="pct"/>
          </w:tcPr>
          <w:p w:rsidR="00117673" w:rsidRPr="00117673" w:rsidRDefault="00F1696E" w:rsidP="00117673">
            <w:pPr>
              <w:cnfStyle w:val="000000100000" w:firstRow="0" w:lastRow="0" w:firstColumn="0" w:lastColumn="0" w:oddVBand="0" w:evenVBand="0" w:oddHBand="1" w:evenHBand="0" w:firstRowFirstColumn="0" w:firstRowLastColumn="0" w:lastRowFirstColumn="0" w:lastRowLastColumn="0"/>
              <w:rPr>
                <w:color w:val="943634" w:themeColor="accent2" w:themeShade="BF"/>
                <w:sz w:val="19"/>
                <w:szCs w:val="19"/>
              </w:rPr>
            </w:pPr>
            <w:hyperlink r:id="rId22" w:history="1">
              <w:r w:rsidR="00117673" w:rsidRPr="00117673">
                <w:rPr>
                  <w:rStyle w:val="Hyperlink"/>
                  <w:sz w:val="19"/>
                  <w:szCs w:val="19"/>
                </w:rPr>
                <w:t>Natural Resources Wales (2014) How to comply with your environmental permit</w:t>
              </w:r>
            </w:hyperlink>
            <w:r w:rsidR="00117673" w:rsidRPr="00117673">
              <w:rPr>
                <w:color w:val="7030A0"/>
                <w:sz w:val="19"/>
                <w:szCs w:val="19"/>
              </w:rPr>
              <w:t xml:space="preserve"> </w:t>
            </w:r>
          </w:p>
        </w:tc>
      </w:tr>
      <w:tr w:rsidR="00117673" w:rsidRPr="00117673" w:rsidTr="00117673">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rPr>
                <w:color w:val="7030A0"/>
                <w:sz w:val="19"/>
                <w:szCs w:val="19"/>
              </w:rPr>
            </w:pPr>
            <w:r w:rsidRPr="00117673">
              <w:rPr>
                <w:color w:val="7030A0"/>
                <w:sz w:val="19"/>
                <w:szCs w:val="19"/>
              </w:rPr>
              <w:t>18</w:t>
            </w:r>
          </w:p>
        </w:tc>
        <w:tc>
          <w:tcPr>
            <w:tcW w:w="4220" w:type="pct"/>
          </w:tcPr>
          <w:p w:rsidR="00117673" w:rsidRPr="00117673" w:rsidRDefault="00F1696E" w:rsidP="00117673">
            <w:pPr>
              <w:cnfStyle w:val="000000000000" w:firstRow="0" w:lastRow="0" w:firstColumn="0" w:lastColumn="0" w:oddVBand="0" w:evenVBand="0" w:oddHBand="0" w:evenHBand="0" w:firstRowFirstColumn="0" w:firstRowLastColumn="0" w:lastRowFirstColumn="0" w:lastRowLastColumn="0"/>
              <w:rPr>
                <w:color w:val="943634" w:themeColor="accent2" w:themeShade="BF"/>
                <w:sz w:val="19"/>
                <w:szCs w:val="19"/>
              </w:rPr>
            </w:pPr>
            <w:hyperlink r:id="rId23" w:history="1">
              <w:r w:rsidR="00117673" w:rsidRPr="00117673">
                <w:rPr>
                  <w:rStyle w:val="Hyperlink"/>
                  <w:sz w:val="19"/>
                  <w:szCs w:val="19"/>
                </w:rPr>
                <w:t>Environment Agency (2018) Hazardous waste: rejected loads guidance</w:t>
              </w:r>
            </w:hyperlink>
            <w:r w:rsidR="00117673" w:rsidRPr="00117673">
              <w:rPr>
                <w:sz w:val="19"/>
                <w:szCs w:val="19"/>
              </w:rPr>
              <w:t xml:space="preserve"> </w:t>
            </w:r>
          </w:p>
        </w:tc>
      </w:tr>
      <w:tr w:rsidR="00117673" w:rsidRPr="00117673" w:rsidTr="00117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rPr>
                <w:color w:val="7030A0"/>
                <w:sz w:val="19"/>
                <w:szCs w:val="19"/>
              </w:rPr>
            </w:pPr>
            <w:r w:rsidRPr="00117673">
              <w:rPr>
                <w:color w:val="7030A0"/>
                <w:sz w:val="19"/>
                <w:szCs w:val="19"/>
              </w:rPr>
              <w:t>18,19</w:t>
            </w:r>
          </w:p>
        </w:tc>
        <w:tc>
          <w:tcPr>
            <w:tcW w:w="4220" w:type="pct"/>
          </w:tcPr>
          <w:p w:rsidR="00117673" w:rsidRPr="00117673" w:rsidRDefault="00F1696E" w:rsidP="00117673">
            <w:pPr>
              <w:cnfStyle w:val="000000100000" w:firstRow="0" w:lastRow="0" w:firstColumn="0" w:lastColumn="0" w:oddVBand="0" w:evenVBand="0" w:oddHBand="1" w:evenHBand="0" w:firstRowFirstColumn="0" w:firstRowLastColumn="0" w:lastRowFirstColumn="0" w:lastRowLastColumn="0"/>
              <w:rPr>
                <w:color w:val="943634" w:themeColor="accent2" w:themeShade="BF"/>
                <w:sz w:val="19"/>
                <w:szCs w:val="19"/>
              </w:rPr>
            </w:pPr>
            <w:hyperlink r:id="rId24" w:history="1">
              <w:r w:rsidR="00117673" w:rsidRPr="00117673">
                <w:rPr>
                  <w:rStyle w:val="Hyperlink"/>
                  <w:sz w:val="19"/>
                  <w:szCs w:val="19"/>
                </w:rPr>
                <w:t>Environment Agency (2018) Waste duty of care code of practice</w:t>
              </w:r>
            </w:hyperlink>
            <w:r w:rsidR="00117673" w:rsidRPr="00117673">
              <w:rPr>
                <w:sz w:val="19"/>
                <w:szCs w:val="19"/>
              </w:rPr>
              <w:t xml:space="preserve"> </w:t>
            </w:r>
          </w:p>
        </w:tc>
      </w:tr>
      <w:tr w:rsidR="00117673" w:rsidRPr="00117673" w:rsidTr="00117673">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rPr>
                <w:color w:val="7030A0"/>
                <w:sz w:val="19"/>
                <w:szCs w:val="19"/>
              </w:rPr>
            </w:pPr>
            <w:r w:rsidRPr="00117673">
              <w:rPr>
                <w:color w:val="7030A0"/>
                <w:sz w:val="19"/>
                <w:szCs w:val="19"/>
              </w:rPr>
              <w:t>19</w:t>
            </w:r>
          </w:p>
        </w:tc>
        <w:tc>
          <w:tcPr>
            <w:tcW w:w="4220" w:type="pct"/>
          </w:tcPr>
          <w:p w:rsidR="00117673" w:rsidRPr="00117673" w:rsidRDefault="00F1696E" w:rsidP="00117673">
            <w:pPr>
              <w:cnfStyle w:val="000000000000" w:firstRow="0" w:lastRow="0" w:firstColumn="0" w:lastColumn="0" w:oddVBand="0" w:evenVBand="0" w:oddHBand="0" w:evenHBand="0" w:firstRowFirstColumn="0" w:firstRowLastColumn="0" w:lastRowFirstColumn="0" w:lastRowLastColumn="0"/>
              <w:rPr>
                <w:sz w:val="19"/>
                <w:szCs w:val="19"/>
              </w:rPr>
            </w:pPr>
            <w:hyperlink r:id="rId25" w:history="1">
              <w:r w:rsidR="00117673" w:rsidRPr="00117673">
                <w:rPr>
                  <w:rStyle w:val="Hyperlink"/>
                  <w:sz w:val="19"/>
                  <w:szCs w:val="19"/>
                </w:rPr>
                <w:t>Natural Resources Wales (2016) Statutory guidance waste duty of care code of practice</w:t>
              </w:r>
            </w:hyperlink>
            <w:r w:rsidR="00117673" w:rsidRPr="00117673">
              <w:rPr>
                <w:sz w:val="19"/>
                <w:szCs w:val="19"/>
              </w:rPr>
              <w:t xml:space="preserve"> </w:t>
            </w:r>
          </w:p>
        </w:tc>
      </w:tr>
      <w:tr w:rsidR="00117673" w:rsidRPr="00117673" w:rsidTr="00117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rPr>
                <w:color w:val="7030A0"/>
                <w:sz w:val="19"/>
                <w:szCs w:val="19"/>
              </w:rPr>
            </w:pPr>
            <w:r w:rsidRPr="00117673">
              <w:rPr>
                <w:color w:val="7030A0"/>
                <w:sz w:val="19"/>
                <w:szCs w:val="19"/>
              </w:rPr>
              <w:t>20</w:t>
            </w:r>
          </w:p>
        </w:tc>
        <w:tc>
          <w:tcPr>
            <w:tcW w:w="4220" w:type="pct"/>
          </w:tcPr>
          <w:p w:rsidR="00117673" w:rsidRPr="00117673" w:rsidRDefault="00F1696E" w:rsidP="00117673">
            <w:pPr>
              <w:cnfStyle w:val="000000100000" w:firstRow="0" w:lastRow="0" w:firstColumn="0" w:lastColumn="0" w:oddVBand="0" w:evenVBand="0" w:oddHBand="1" w:evenHBand="0" w:firstRowFirstColumn="0" w:firstRowLastColumn="0" w:lastRowFirstColumn="0" w:lastRowLastColumn="0"/>
              <w:rPr>
                <w:sz w:val="19"/>
                <w:szCs w:val="19"/>
              </w:rPr>
            </w:pPr>
            <w:hyperlink r:id="rId26" w:history="1">
              <w:r w:rsidR="00117673" w:rsidRPr="00117673">
                <w:rPr>
                  <w:rStyle w:val="Hyperlink"/>
                  <w:sz w:val="19"/>
                  <w:szCs w:val="19"/>
                </w:rPr>
                <w:t>Environment Agency (2018) Standard rules: environmental permitting</w:t>
              </w:r>
            </w:hyperlink>
            <w:r w:rsidR="00117673" w:rsidRPr="00117673">
              <w:rPr>
                <w:sz w:val="19"/>
                <w:szCs w:val="19"/>
              </w:rPr>
              <w:t xml:space="preserve"> </w:t>
            </w:r>
          </w:p>
        </w:tc>
      </w:tr>
      <w:tr w:rsidR="00117673" w:rsidRPr="00117673" w:rsidTr="00117673">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C00000"/>
                <w:sz w:val="19"/>
                <w:szCs w:val="19"/>
              </w:rPr>
            </w:pPr>
            <w:r w:rsidRPr="00117673">
              <w:rPr>
                <w:color w:val="7030A0"/>
                <w:sz w:val="19"/>
                <w:szCs w:val="19"/>
              </w:rPr>
              <w:t>26,29,35</w:t>
            </w:r>
          </w:p>
        </w:tc>
        <w:tc>
          <w:tcPr>
            <w:tcW w:w="4220" w:type="pct"/>
          </w:tcPr>
          <w:p w:rsidR="00117673" w:rsidRPr="00117673" w:rsidRDefault="00F1696E" w:rsidP="00117673">
            <w:pPr>
              <w:cnfStyle w:val="000000000000" w:firstRow="0" w:lastRow="0" w:firstColumn="0" w:lastColumn="0" w:oddVBand="0" w:evenVBand="0" w:oddHBand="0" w:evenHBand="0" w:firstRowFirstColumn="0" w:firstRowLastColumn="0" w:lastRowFirstColumn="0" w:lastRowLastColumn="0"/>
              <w:rPr>
                <w:sz w:val="19"/>
                <w:szCs w:val="19"/>
              </w:rPr>
            </w:pPr>
            <w:hyperlink r:id="rId27" w:history="1">
              <w:r w:rsidR="00117673" w:rsidRPr="00117673">
                <w:rPr>
                  <w:rStyle w:val="Hyperlink"/>
                  <w:sz w:val="19"/>
                  <w:szCs w:val="19"/>
                </w:rPr>
                <w:t>Environment Agency (2011) How to comply with your environmental permit</w:t>
              </w:r>
            </w:hyperlink>
            <w:r w:rsidR="00117673" w:rsidRPr="00117673">
              <w:rPr>
                <w:color w:val="7030A0"/>
                <w:sz w:val="19"/>
                <w:szCs w:val="19"/>
              </w:rPr>
              <w:t xml:space="preserve"> </w:t>
            </w:r>
          </w:p>
        </w:tc>
      </w:tr>
      <w:tr w:rsidR="00117673" w:rsidRPr="00117673" w:rsidTr="00117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C00000"/>
                <w:sz w:val="19"/>
                <w:szCs w:val="19"/>
              </w:rPr>
            </w:pPr>
            <w:r w:rsidRPr="00117673">
              <w:rPr>
                <w:color w:val="7030A0"/>
                <w:sz w:val="19"/>
                <w:szCs w:val="19"/>
              </w:rPr>
              <w:t>23,26</w:t>
            </w:r>
          </w:p>
        </w:tc>
        <w:tc>
          <w:tcPr>
            <w:tcW w:w="4220" w:type="pct"/>
          </w:tcPr>
          <w:p w:rsidR="00117673" w:rsidRPr="00117673" w:rsidRDefault="00F1696E" w:rsidP="00117673">
            <w:pPr>
              <w:cnfStyle w:val="000000100000" w:firstRow="0" w:lastRow="0" w:firstColumn="0" w:lastColumn="0" w:oddVBand="0" w:evenVBand="0" w:oddHBand="1" w:evenHBand="0" w:firstRowFirstColumn="0" w:firstRowLastColumn="0" w:lastRowFirstColumn="0" w:lastRowLastColumn="0"/>
              <w:rPr>
                <w:sz w:val="19"/>
                <w:szCs w:val="19"/>
              </w:rPr>
            </w:pPr>
            <w:hyperlink r:id="rId28" w:history="1">
              <w:r w:rsidR="00117673" w:rsidRPr="00117673">
                <w:rPr>
                  <w:rStyle w:val="Hyperlink"/>
                  <w:sz w:val="19"/>
                  <w:szCs w:val="19"/>
                </w:rPr>
                <w:t>Department for Communities and Local Government (2009) Understanding permeable and impermeable surfaces</w:t>
              </w:r>
            </w:hyperlink>
            <w:r w:rsidR="00117673" w:rsidRPr="00117673">
              <w:rPr>
                <w:color w:val="7030A0"/>
                <w:sz w:val="19"/>
                <w:szCs w:val="19"/>
              </w:rPr>
              <w:t xml:space="preserve"> </w:t>
            </w:r>
          </w:p>
        </w:tc>
      </w:tr>
      <w:tr w:rsidR="00117673" w:rsidRPr="00117673" w:rsidTr="00117673">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C00000"/>
                <w:sz w:val="19"/>
                <w:szCs w:val="19"/>
              </w:rPr>
            </w:pPr>
            <w:r w:rsidRPr="00117673">
              <w:rPr>
                <w:color w:val="7030A0"/>
                <w:sz w:val="19"/>
                <w:szCs w:val="19"/>
              </w:rPr>
              <w:t>24</w:t>
            </w:r>
          </w:p>
        </w:tc>
        <w:tc>
          <w:tcPr>
            <w:tcW w:w="4220" w:type="pct"/>
          </w:tcPr>
          <w:p w:rsidR="00117673" w:rsidRPr="00117673" w:rsidRDefault="00F1696E" w:rsidP="00117673">
            <w:pPr>
              <w:cnfStyle w:val="000000000000" w:firstRow="0" w:lastRow="0" w:firstColumn="0" w:lastColumn="0" w:oddVBand="0" w:evenVBand="0" w:oddHBand="0" w:evenHBand="0" w:firstRowFirstColumn="0" w:firstRowLastColumn="0" w:lastRowFirstColumn="0" w:lastRowLastColumn="0"/>
              <w:rPr>
                <w:sz w:val="19"/>
                <w:szCs w:val="19"/>
              </w:rPr>
            </w:pPr>
            <w:hyperlink r:id="rId29" w:history="1">
              <w:r w:rsidR="00117673" w:rsidRPr="00117673">
                <w:rPr>
                  <w:rStyle w:val="Hyperlink"/>
                  <w:sz w:val="19"/>
                  <w:szCs w:val="19"/>
                </w:rPr>
                <w:t>Environment Agency (2011) Above Ground Oil Storage Tanks: PPG 2</w:t>
              </w:r>
            </w:hyperlink>
          </w:p>
        </w:tc>
      </w:tr>
      <w:tr w:rsidR="00117673" w:rsidRPr="00117673" w:rsidTr="00117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7030A0"/>
                <w:sz w:val="19"/>
                <w:szCs w:val="19"/>
              </w:rPr>
            </w:pPr>
            <w:r w:rsidRPr="00117673">
              <w:rPr>
                <w:color w:val="7030A0"/>
                <w:sz w:val="19"/>
                <w:szCs w:val="19"/>
              </w:rPr>
              <w:t>25</w:t>
            </w:r>
          </w:p>
        </w:tc>
        <w:tc>
          <w:tcPr>
            <w:tcW w:w="4220" w:type="pct"/>
          </w:tcPr>
          <w:p w:rsidR="00117673" w:rsidRPr="00117673" w:rsidRDefault="00F1696E" w:rsidP="00117673">
            <w:pPr>
              <w:cnfStyle w:val="000000100000" w:firstRow="0" w:lastRow="0" w:firstColumn="0" w:lastColumn="0" w:oddVBand="0" w:evenVBand="0" w:oddHBand="1" w:evenHBand="0" w:firstRowFirstColumn="0" w:firstRowLastColumn="0" w:lastRowFirstColumn="0" w:lastRowLastColumn="0"/>
              <w:rPr>
                <w:sz w:val="19"/>
                <w:szCs w:val="19"/>
              </w:rPr>
            </w:pPr>
            <w:hyperlink r:id="rId30" w:history="1">
              <w:r w:rsidR="00117673" w:rsidRPr="00117673">
                <w:rPr>
                  <w:rStyle w:val="Hyperlink"/>
                  <w:sz w:val="19"/>
                  <w:szCs w:val="19"/>
                </w:rPr>
                <w:t>Environment Agency (2018) Fire prevention plans: environmental permits</w:t>
              </w:r>
            </w:hyperlink>
            <w:r w:rsidR="00117673" w:rsidRPr="00117673">
              <w:rPr>
                <w:sz w:val="19"/>
                <w:szCs w:val="19"/>
              </w:rPr>
              <w:t xml:space="preserve"> </w:t>
            </w:r>
          </w:p>
        </w:tc>
      </w:tr>
      <w:tr w:rsidR="00117673" w:rsidRPr="00117673" w:rsidTr="00117673">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7030A0"/>
                <w:sz w:val="19"/>
                <w:szCs w:val="19"/>
              </w:rPr>
            </w:pPr>
            <w:r w:rsidRPr="00117673">
              <w:rPr>
                <w:color w:val="7030A0"/>
                <w:sz w:val="19"/>
                <w:szCs w:val="19"/>
              </w:rPr>
              <w:t>25</w:t>
            </w:r>
          </w:p>
        </w:tc>
        <w:tc>
          <w:tcPr>
            <w:tcW w:w="4220" w:type="pct"/>
          </w:tcPr>
          <w:p w:rsidR="00117673" w:rsidRPr="00117673" w:rsidRDefault="00F1696E" w:rsidP="00117673">
            <w:pPr>
              <w:cnfStyle w:val="000000000000" w:firstRow="0" w:lastRow="0" w:firstColumn="0" w:lastColumn="0" w:oddVBand="0" w:evenVBand="0" w:oddHBand="0" w:evenHBand="0" w:firstRowFirstColumn="0" w:firstRowLastColumn="0" w:lastRowFirstColumn="0" w:lastRowLastColumn="0"/>
              <w:rPr>
                <w:color w:val="943634" w:themeColor="accent2" w:themeShade="BF"/>
                <w:sz w:val="19"/>
                <w:szCs w:val="19"/>
              </w:rPr>
            </w:pPr>
            <w:hyperlink r:id="rId31" w:history="1">
              <w:r w:rsidR="00117673" w:rsidRPr="00117673">
                <w:rPr>
                  <w:rStyle w:val="Hyperlink"/>
                  <w:sz w:val="19"/>
                  <w:szCs w:val="19"/>
                </w:rPr>
                <w:t>Natural Resources Wales (2017) Fire prevention and mitigation plan guidance – waste management</w:t>
              </w:r>
            </w:hyperlink>
          </w:p>
        </w:tc>
      </w:tr>
      <w:tr w:rsidR="00117673" w:rsidRPr="00117673" w:rsidTr="00117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7030A0"/>
                <w:sz w:val="19"/>
                <w:szCs w:val="19"/>
              </w:rPr>
            </w:pPr>
            <w:r w:rsidRPr="00117673">
              <w:rPr>
                <w:color w:val="7030A0"/>
                <w:sz w:val="19"/>
                <w:szCs w:val="19"/>
              </w:rPr>
              <w:t>26</w:t>
            </w:r>
          </w:p>
        </w:tc>
        <w:tc>
          <w:tcPr>
            <w:tcW w:w="4220" w:type="pct"/>
          </w:tcPr>
          <w:p w:rsidR="00117673" w:rsidRPr="00117673" w:rsidRDefault="00F1696E" w:rsidP="00117673">
            <w:pPr>
              <w:cnfStyle w:val="000000100000" w:firstRow="0" w:lastRow="0" w:firstColumn="0" w:lastColumn="0" w:oddVBand="0" w:evenVBand="0" w:oddHBand="1" w:evenHBand="0" w:firstRowFirstColumn="0" w:firstRowLastColumn="0" w:lastRowFirstColumn="0" w:lastRowLastColumn="0"/>
              <w:rPr>
                <w:color w:val="943634" w:themeColor="accent2" w:themeShade="BF"/>
                <w:sz w:val="19"/>
                <w:szCs w:val="19"/>
              </w:rPr>
            </w:pPr>
            <w:hyperlink r:id="rId32" w:history="1">
              <w:r w:rsidR="00117673" w:rsidRPr="00117673">
                <w:rPr>
                  <w:rStyle w:val="Hyperlink"/>
                  <w:sz w:val="19"/>
                  <w:szCs w:val="19"/>
                </w:rPr>
                <w:t>Environment Agency (2018) Control and monitor emissions for your environmental permit</w:t>
              </w:r>
            </w:hyperlink>
          </w:p>
        </w:tc>
      </w:tr>
      <w:tr w:rsidR="00117673" w:rsidRPr="00117673" w:rsidTr="00117673">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7030A0"/>
                <w:sz w:val="19"/>
                <w:szCs w:val="19"/>
              </w:rPr>
            </w:pPr>
            <w:r w:rsidRPr="00117673">
              <w:rPr>
                <w:color w:val="7030A0"/>
                <w:sz w:val="19"/>
                <w:szCs w:val="19"/>
              </w:rPr>
              <w:t>30,35</w:t>
            </w:r>
          </w:p>
        </w:tc>
        <w:tc>
          <w:tcPr>
            <w:tcW w:w="4220" w:type="pct"/>
          </w:tcPr>
          <w:p w:rsidR="00117673" w:rsidRPr="00117673" w:rsidRDefault="00F1696E" w:rsidP="00117673">
            <w:pPr>
              <w:cnfStyle w:val="000000000000" w:firstRow="0" w:lastRow="0" w:firstColumn="0" w:lastColumn="0" w:oddVBand="0" w:evenVBand="0" w:oddHBand="0" w:evenHBand="0" w:firstRowFirstColumn="0" w:firstRowLastColumn="0" w:lastRowFirstColumn="0" w:lastRowLastColumn="0"/>
              <w:rPr>
                <w:sz w:val="19"/>
                <w:szCs w:val="19"/>
              </w:rPr>
            </w:pPr>
            <w:hyperlink r:id="rId33" w:history="1">
              <w:r w:rsidR="00117673" w:rsidRPr="00117673">
                <w:rPr>
                  <w:rStyle w:val="Hyperlink"/>
                  <w:sz w:val="19"/>
                  <w:szCs w:val="19"/>
                </w:rPr>
                <w:t>Health and Safety Executive (2012) Health and Safety Training: A brief guide</w:t>
              </w:r>
            </w:hyperlink>
            <w:r w:rsidR="00117673" w:rsidRPr="00117673">
              <w:rPr>
                <w:sz w:val="19"/>
                <w:szCs w:val="19"/>
              </w:rPr>
              <w:t xml:space="preserve"> </w:t>
            </w:r>
          </w:p>
        </w:tc>
      </w:tr>
      <w:tr w:rsidR="00117673" w:rsidRPr="00117673" w:rsidTr="00117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C00000"/>
                <w:sz w:val="19"/>
                <w:szCs w:val="19"/>
              </w:rPr>
            </w:pPr>
            <w:r w:rsidRPr="00117673">
              <w:rPr>
                <w:color w:val="7030A0"/>
                <w:sz w:val="19"/>
                <w:szCs w:val="19"/>
              </w:rPr>
              <w:t>29,30,35</w:t>
            </w:r>
          </w:p>
        </w:tc>
        <w:tc>
          <w:tcPr>
            <w:tcW w:w="4220" w:type="pct"/>
          </w:tcPr>
          <w:p w:rsidR="00117673" w:rsidRPr="00117673" w:rsidRDefault="00F1696E" w:rsidP="00117673">
            <w:pPr>
              <w:cnfStyle w:val="000000100000" w:firstRow="0" w:lastRow="0" w:firstColumn="0" w:lastColumn="0" w:oddVBand="0" w:evenVBand="0" w:oddHBand="1" w:evenHBand="0" w:firstRowFirstColumn="0" w:firstRowLastColumn="0" w:lastRowFirstColumn="0" w:lastRowLastColumn="0"/>
              <w:rPr>
                <w:sz w:val="19"/>
                <w:szCs w:val="19"/>
              </w:rPr>
            </w:pPr>
            <w:hyperlink r:id="rId34" w:history="1">
              <w:r w:rsidR="00117673" w:rsidRPr="00117673">
                <w:rPr>
                  <w:rStyle w:val="Hyperlink"/>
                  <w:sz w:val="19"/>
                  <w:szCs w:val="19"/>
                </w:rPr>
                <w:t>WISH (2015) Health and Safety Training in Waste Management and Recycling</w:t>
              </w:r>
            </w:hyperlink>
            <w:r w:rsidR="00117673" w:rsidRPr="00117673">
              <w:rPr>
                <w:color w:val="7030A0"/>
                <w:sz w:val="19"/>
                <w:szCs w:val="19"/>
              </w:rPr>
              <w:t xml:space="preserve"> </w:t>
            </w:r>
          </w:p>
        </w:tc>
      </w:tr>
      <w:tr w:rsidR="00117673" w:rsidRPr="00117673" w:rsidTr="00117673">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C00000"/>
                <w:sz w:val="19"/>
                <w:szCs w:val="19"/>
              </w:rPr>
            </w:pPr>
            <w:r w:rsidRPr="00117673">
              <w:rPr>
                <w:color w:val="7030A0"/>
                <w:sz w:val="19"/>
                <w:szCs w:val="19"/>
              </w:rPr>
              <w:t>29</w:t>
            </w:r>
          </w:p>
        </w:tc>
        <w:tc>
          <w:tcPr>
            <w:tcW w:w="4220" w:type="pct"/>
          </w:tcPr>
          <w:p w:rsidR="00117673" w:rsidRPr="00117673" w:rsidRDefault="00F1696E" w:rsidP="00117673">
            <w:pPr>
              <w:cnfStyle w:val="000000000000" w:firstRow="0" w:lastRow="0" w:firstColumn="0" w:lastColumn="0" w:oddVBand="0" w:evenVBand="0" w:oddHBand="0" w:evenHBand="0" w:firstRowFirstColumn="0" w:firstRowLastColumn="0" w:lastRowFirstColumn="0" w:lastRowLastColumn="0"/>
              <w:rPr>
                <w:sz w:val="19"/>
                <w:szCs w:val="19"/>
              </w:rPr>
            </w:pPr>
            <w:hyperlink r:id="rId35" w:history="1">
              <w:r w:rsidR="00117673" w:rsidRPr="00117673">
                <w:rPr>
                  <w:rStyle w:val="Hyperlink"/>
                  <w:sz w:val="19"/>
                  <w:szCs w:val="19"/>
                </w:rPr>
                <w:t>Health and Safety Executive (2011) Health and safety training</w:t>
              </w:r>
            </w:hyperlink>
            <w:r w:rsidR="00117673" w:rsidRPr="00117673">
              <w:rPr>
                <w:color w:val="7030A0"/>
                <w:sz w:val="19"/>
                <w:szCs w:val="19"/>
              </w:rPr>
              <w:t xml:space="preserve"> </w:t>
            </w:r>
          </w:p>
        </w:tc>
      </w:tr>
      <w:tr w:rsidR="00117673" w:rsidRPr="00117673" w:rsidTr="00117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7030A0"/>
                <w:sz w:val="19"/>
                <w:szCs w:val="19"/>
              </w:rPr>
            </w:pPr>
            <w:r w:rsidRPr="00117673">
              <w:rPr>
                <w:color w:val="7030A0"/>
                <w:sz w:val="19"/>
                <w:szCs w:val="19"/>
              </w:rPr>
              <w:t>31</w:t>
            </w:r>
          </w:p>
        </w:tc>
        <w:tc>
          <w:tcPr>
            <w:tcW w:w="4220" w:type="pct"/>
          </w:tcPr>
          <w:p w:rsidR="00117673" w:rsidRPr="00117673" w:rsidRDefault="00F1696E" w:rsidP="00117673">
            <w:pPr>
              <w:cnfStyle w:val="000000100000" w:firstRow="0" w:lastRow="0" w:firstColumn="0" w:lastColumn="0" w:oddVBand="0" w:evenVBand="0" w:oddHBand="1" w:evenHBand="0" w:firstRowFirstColumn="0" w:firstRowLastColumn="0" w:lastRowFirstColumn="0" w:lastRowLastColumn="0"/>
              <w:rPr>
                <w:color w:val="943634" w:themeColor="accent2" w:themeShade="BF"/>
                <w:sz w:val="19"/>
                <w:szCs w:val="19"/>
              </w:rPr>
            </w:pPr>
            <w:hyperlink r:id="rId36" w:history="1">
              <w:r w:rsidR="00117673" w:rsidRPr="00117673">
                <w:rPr>
                  <w:rStyle w:val="Hyperlink"/>
                  <w:sz w:val="19"/>
                  <w:szCs w:val="19"/>
                </w:rPr>
                <w:t>Environment Agency (2019) Develop a management system: environmental permits</w:t>
              </w:r>
            </w:hyperlink>
            <w:r w:rsidR="00117673" w:rsidRPr="00117673">
              <w:rPr>
                <w:color w:val="7030A0"/>
                <w:sz w:val="19"/>
                <w:szCs w:val="19"/>
              </w:rPr>
              <w:t xml:space="preserve"> </w:t>
            </w:r>
          </w:p>
        </w:tc>
      </w:tr>
      <w:tr w:rsidR="00117673" w:rsidRPr="00117673" w:rsidTr="00117673">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7030A0"/>
                <w:sz w:val="19"/>
                <w:szCs w:val="19"/>
              </w:rPr>
            </w:pPr>
            <w:r w:rsidRPr="00117673">
              <w:rPr>
                <w:color w:val="7030A0"/>
                <w:sz w:val="19"/>
                <w:szCs w:val="19"/>
              </w:rPr>
              <w:t>35</w:t>
            </w:r>
          </w:p>
        </w:tc>
        <w:tc>
          <w:tcPr>
            <w:tcW w:w="4220" w:type="pct"/>
          </w:tcPr>
          <w:p w:rsidR="00117673" w:rsidRPr="00117673" w:rsidRDefault="00F1696E" w:rsidP="00117673">
            <w:pPr>
              <w:cnfStyle w:val="000000000000" w:firstRow="0" w:lastRow="0" w:firstColumn="0" w:lastColumn="0" w:oddVBand="0" w:evenVBand="0" w:oddHBand="0" w:evenHBand="0" w:firstRowFirstColumn="0" w:firstRowLastColumn="0" w:lastRowFirstColumn="0" w:lastRowLastColumn="0"/>
              <w:rPr>
                <w:color w:val="943634" w:themeColor="accent2" w:themeShade="BF"/>
                <w:sz w:val="19"/>
                <w:szCs w:val="19"/>
              </w:rPr>
            </w:pPr>
            <w:hyperlink r:id="rId37" w:history="1">
              <w:r w:rsidR="00117673" w:rsidRPr="00117673">
                <w:rPr>
                  <w:rStyle w:val="Hyperlink"/>
                  <w:sz w:val="19"/>
                  <w:szCs w:val="19"/>
                </w:rPr>
                <w:t>Health and Safety Executive (2011) Management of risk when planning work</w:t>
              </w:r>
            </w:hyperlink>
            <w:r w:rsidR="00117673" w:rsidRPr="00117673">
              <w:rPr>
                <w:sz w:val="19"/>
                <w:szCs w:val="19"/>
              </w:rPr>
              <w:t xml:space="preserve"> </w:t>
            </w:r>
          </w:p>
        </w:tc>
      </w:tr>
      <w:tr w:rsidR="00117673" w:rsidRPr="00117673" w:rsidTr="00117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7030A0"/>
                <w:sz w:val="19"/>
                <w:szCs w:val="19"/>
              </w:rPr>
            </w:pPr>
            <w:r w:rsidRPr="00117673">
              <w:rPr>
                <w:color w:val="7030A0"/>
                <w:sz w:val="19"/>
                <w:szCs w:val="19"/>
              </w:rPr>
              <w:t>35</w:t>
            </w:r>
          </w:p>
        </w:tc>
        <w:tc>
          <w:tcPr>
            <w:tcW w:w="4220" w:type="pct"/>
          </w:tcPr>
          <w:p w:rsidR="00117673" w:rsidRPr="00117673" w:rsidRDefault="00F1696E" w:rsidP="00117673">
            <w:pPr>
              <w:cnfStyle w:val="000000100000" w:firstRow="0" w:lastRow="0" w:firstColumn="0" w:lastColumn="0" w:oddVBand="0" w:evenVBand="0" w:oddHBand="1" w:evenHBand="0" w:firstRowFirstColumn="0" w:firstRowLastColumn="0" w:lastRowFirstColumn="0" w:lastRowLastColumn="0"/>
              <w:rPr>
                <w:color w:val="943634" w:themeColor="accent2" w:themeShade="BF"/>
                <w:sz w:val="19"/>
                <w:szCs w:val="19"/>
              </w:rPr>
            </w:pPr>
            <w:hyperlink r:id="rId38" w:history="1">
              <w:r w:rsidR="00117673" w:rsidRPr="00117673">
                <w:rPr>
                  <w:rStyle w:val="Hyperlink"/>
                  <w:sz w:val="19"/>
                  <w:szCs w:val="19"/>
                </w:rPr>
                <w:t>Health and Safety Executive (2019) Self-audit checklist for your premises</w:t>
              </w:r>
            </w:hyperlink>
          </w:p>
        </w:tc>
      </w:tr>
      <w:tr w:rsidR="00117673" w:rsidRPr="00117673" w:rsidTr="00117673">
        <w:tc>
          <w:tcPr>
            <w:cnfStyle w:val="001000000000" w:firstRow="0" w:lastRow="0" w:firstColumn="1" w:lastColumn="0" w:oddVBand="0" w:evenVBand="0" w:oddHBand="0" w:evenHBand="0" w:firstRowFirstColumn="0" w:firstRowLastColumn="0" w:lastRowFirstColumn="0" w:lastRowLastColumn="0"/>
            <w:tcW w:w="780" w:type="pct"/>
          </w:tcPr>
          <w:p w:rsidR="00117673" w:rsidRPr="00117673" w:rsidRDefault="00117673" w:rsidP="00117673">
            <w:pPr>
              <w:spacing w:after="120"/>
              <w:rPr>
                <w:color w:val="7030A0"/>
                <w:sz w:val="19"/>
                <w:szCs w:val="19"/>
              </w:rPr>
            </w:pPr>
            <w:r w:rsidRPr="00117673">
              <w:rPr>
                <w:color w:val="7030A0"/>
                <w:sz w:val="19"/>
                <w:szCs w:val="19"/>
              </w:rPr>
              <w:t>36</w:t>
            </w:r>
          </w:p>
        </w:tc>
        <w:tc>
          <w:tcPr>
            <w:tcW w:w="4220" w:type="pct"/>
          </w:tcPr>
          <w:p w:rsidR="00117673" w:rsidRPr="00117673" w:rsidRDefault="00F1696E" w:rsidP="00117673">
            <w:pPr>
              <w:cnfStyle w:val="000000000000" w:firstRow="0" w:lastRow="0" w:firstColumn="0" w:lastColumn="0" w:oddVBand="0" w:evenVBand="0" w:oddHBand="0" w:evenHBand="0" w:firstRowFirstColumn="0" w:firstRowLastColumn="0" w:lastRowFirstColumn="0" w:lastRowLastColumn="0"/>
              <w:rPr>
                <w:sz w:val="19"/>
                <w:szCs w:val="19"/>
              </w:rPr>
            </w:pPr>
            <w:hyperlink r:id="rId39" w:history="1">
              <w:r w:rsidR="00117673" w:rsidRPr="00117673">
                <w:rPr>
                  <w:rStyle w:val="Hyperlink"/>
                  <w:sz w:val="19"/>
                  <w:szCs w:val="19"/>
                </w:rPr>
                <w:t>Health and Safety Executive (2019) In health surveillance required in my workplace</w:t>
              </w:r>
            </w:hyperlink>
          </w:p>
        </w:tc>
      </w:tr>
    </w:tbl>
    <w:p w:rsidR="00245F46" w:rsidRDefault="00245F46" w:rsidP="00C02BF3">
      <w:pPr>
        <w:spacing w:before="240"/>
        <w:rPr>
          <w:b/>
          <w:i/>
        </w:rPr>
      </w:pPr>
    </w:p>
    <w:p w:rsidR="00A6136C" w:rsidRPr="00245F46" w:rsidRDefault="00C02BF3" w:rsidP="00245F46">
      <w:pPr>
        <w:spacing w:before="240" w:line="240" w:lineRule="auto"/>
        <w:rPr>
          <w:i/>
          <w:sz w:val="18"/>
        </w:rPr>
      </w:pPr>
      <w:r w:rsidRPr="00245F46">
        <w:rPr>
          <w:b/>
          <w:i/>
          <w:sz w:val="18"/>
        </w:rPr>
        <w:t>Please note:</w:t>
      </w:r>
      <w:r w:rsidRPr="00245F46">
        <w:rPr>
          <w:i/>
          <w:sz w:val="18"/>
        </w:rPr>
        <w:t xml:space="preserve"> this information was correct at the time of publishing. If you find these links are broken, type the document title into a search engine.</w:t>
      </w: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6136C" w:rsidRDefault="00A6136C" w:rsidP="00245F46">
            <w:pPr>
              <w:rPr>
                <w:b/>
              </w:rPr>
            </w:pPr>
          </w:p>
          <w:p w:rsidR="00A6136C" w:rsidRDefault="00A6136C" w:rsidP="00245F46">
            <w:pPr>
              <w:rPr>
                <w:b/>
              </w:rPr>
            </w:pPr>
            <w:r>
              <w:rPr>
                <w:b/>
              </w:rPr>
              <w:t>About this sheet</w:t>
            </w:r>
          </w:p>
          <w:p w:rsidR="00A6136C" w:rsidRDefault="00A6136C" w:rsidP="00245F46">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245F46">
            <w:pPr>
              <w:rPr>
                <w:i/>
              </w:rPr>
            </w:pPr>
          </w:p>
          <w:p w:rsidR="00A6136C" w:rsidRPr="00AA6976" w:rsidRDefault="00A6136C" w:rsidP="00245F46">
            <w:pPr>
              <w:rPr>
                <w:i/>
              </w:rPr>
            </w:pPr>
            <w:r w:rsidRPr="00AA6976">
              <w:rPr>
                <w:i/>
              </w:rPr>
              <w:t>It will highlight any changes in technical guidance and sources used as a basis for the Continuing Competence question bank to support the revision of users.</w:t>
            </w:r>
          </w:p>
          <w:p w:rsidR="00A6136C" w:rsidRDefault="00A6136C" w:rsidP="00245F46">
            <w:pPr>
              <w:rPr>
                <w:i/>
              </w:rPr>
            </w:pPr>
          </w:p>
        </w:tc>
      </w:tr>
    </w:tbl>
    <w:p w:rsidR="00A6136C" w:rsidRDefault="00A6136C" w:rsidP="00245F46">
      <w:pPr>
        <w:spacing w:after="0" w:line="240" w:lineRule="auto"/>
        <w:rPr>
          <w:b/>
        </w:rPr>
      </w:pPr>
    </w:p>
    <w:p w:rsidR="00A6136C" w:rsidRDefault="00A6136C" w:rsidP="00245F46">
      <w:pPr>
        <w:spacing w:line="240" w:lineRule="auto"/>
        <w:rPr>
          <w:b/>
        </w:rPr>
      </w:pPr>
      <w:r>
        <w:rPr>
          <w:b/>
        </w:rPr>
        <w:t>Frequently Asked Questions (FAQs)</w:t>
      </w:r>
    </w:p>
    <w:p w:rsidR="00A6136C" w:rsidRPr="00F02619" w:rsidRDefault="00A6136C" w:rsidP="00245F46">
      <w:pPr>
        <w:spacing w:line="240" w:lineRule="auto"/>
        <w:rPr>
          <w:i/>
          <w:color w:val="7030A0"/>
        </w:rPr>
      </w:pPr>
      <w:r w:rsidRPr="00F02619">
        <w:rPr>
          <w:i/>
          <w:color w:val="7030A0"/>
        </w:rPr>
        <w:t>How much does the test cost?</w:t>
      </w:r>
    </w:p>
    <w:p w:rsidR="00A6136C" w:rsidRDefault="00A6136C" w:rsidP="00245F46">
      <w:pPr>
        <w:spacing w:line="240" w:lineRule="auto"/>
      </w:pPr>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245F46">
      <w:pPr>
        <w:spacing w:line="240" w:lineRule="auto"/>
        <w:rPr>
          <w:i/>
          <w:color w:val="7030A0"/>
        </w:rPr>
      </w:pPr>
      <w:r w:rsidRPr="00F02619">
        <w:rPr>
          <w:i/>
          <w:color w:val="7030A0"/>
        </w:rPr>
        <w:t>What form of personal identification can I use at the test centre?</w:t>
      </w:r>
    </w:p>
    <w:p w:rsidR="00A6136C" w:rsidRDefault="00A6136C" w:rsidP="00245F46">
      <w:pPr>
        <w:pStyle w:val="ListParagraph"/>
        <w:numPr>
          <w:ilvl w:val="0"/>
          <w:numId w:val="1"/>
        </w:numPr>
        <w:spacing w:line="240" w:lineRule="auto"/>
      </w:pPr>
      <w:r>
        <w:t>A valid signed passport of any country with your photograph and signature.</w:t>
      </w:r>
    </w:p>
    <w:p w:rsidR="00A6136C" w:rsidRDefault="00A6136C" w:rsidP="00245F46">
      <w:pPr>
        <w:pStyle w:val="ListParagraph"/>
        <w:numPr>
          <w:ilvl w:val="0"/>
          <w:numId w:val="1"/>
        </w:numPr>
        <w:spacing w:line="240" w:lineRule="auto"/>
      </w:pPr>
      <w:r>
        <w:t>A valid signed UK photo card driving licence (full or provisional).</w:t>
      </w:r>
    </w:p>
    <w:p w:rsidR="00A6136C" w:rsidRPr="008A2290" w:rsidRDefault="00A6136C" w:rsidP="00245F46">
      <w:pPr>
        <w:pStyle w:val="ListParagraph"/>
        <w:numPr>
          <w:ilvl w:val="0"/>
          <w:numId w:val="1"/>
        </w:numPr>
        <w:spacing w:line="240" w:lineRule="auto"/>
      </w:pPr>
      <w:r>
        <w:t>If you have none of these, you may present a Citizen’s ID Card.</w:t>
      </w:r>
      <w:r w:rsidR="00A352DD" w:rsidRPr="00A352DD">
        <w:rPr>
          <w:noProof/>
          <w:lang w:eastAsia="en-GB"/>
        </w:rPr>
        <w:t xml:space="preserve"> </w:t>
      </w:r>
    </w:p>
    <w:p w:rsidR="00A6136C" w:rsidRDefault="00A6136C" w:rsidP="00245F46">
      <w:pPr>
        <w:spacing w:line="240" w:lineRule="auto"/>
        <w:rPr>
          <w:i/>
          <w:color w:val="7030A0"/>
        </w:rPr>
      </w:pPr>
      <w:r>
        <w:rPr>
          <w:i/>
          <w:color w:val="7030A0"/>
        </w:rPr>
        <w:t>How can I find out if I have passed the test?</w:t>
      </w:r>
    </w:p>
    <w:p w:rsidR="003F6D66" w:rsidRDefault="00A6136C" w:rsidP="00245F46">
      <w:pPr>
        <w:spacing w:line="240" w:lineRule="auto"/>
      </w:pPr>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45F46">
      <w:pPr>
        <w:spacing w:line="240" w:lineRule="auto"/>
      </w:pPr>
      <w:r>
        <w:t>T</w:t>
      </w:r>
      <w:r w:rsidR="00A6136C">
        <w:t xml:space="preserve">here is an example on the back of your score report showing how to work out if you’ve passed. Alternatively, you can go to </w:t>
      </w:r>
      <w:hyperlink r:id="rId40"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73" w:rsidRDefault="00117673" w:rsidP="00033393">
      <w:pPr>
        <w:spacing w:after="0" w:line="240" w:lineRule="auto"/>
      </w:pPr>
      <w:r>
        <w:separator/>
      </w:r>
    </w:p>
  </w:endnote>
  <w:endnote w:type="continuationSeparator" w:id="0">
    <w:p w:rsidR="00117673" w:rsidRDefault="00117673"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70377"/>
      <w:docPartObj>
        <w:docPartGallery w:val="Page Numbers (Bottom of Page)"/>
        <w:docPartUnique/>
      </w:docPartObj>
    </w:sdtPr>
    <w:sdtEndPr/>
    <w:sdtContent>
      <w:sdt>
        <w:sdtPr>
          <w:id w:val="-1011378125"/>
          <w:docPartObj>
            <w:docPartGallery w:val="Page Numbers (Top of Page)"/>
            <w:docPartUnique/>
          </w:docPartObj>
        </w:sdtPr>
        <w:sdtEndPr/>
        <w:sdtContent>
          <w:p w:rsidR="00117673" w:rsidRDefault="00117673" w:rsidP="00FB3587">
            <w:pPr>
              <w:spacing w:after="0"/>
            </w:pPr>
            <w:r>
              <w:rPr>
                <w:noProof/>
                <w:lang w:eastAsia="en-GB"/>
              </w:rPr>
              <mc:AlternateContent>
                <mc:Choice Requires="wps">
                  <w:drawing>
                    <wp:anchor distT="0" distB="0" distL="114300" distR="114300" simplePos="0" relativeHeight="251661312" behindDoc="0" locked="0" layoutInCell="1" allowOverlap="1" wp14:anchorId="593F2A91" wp14:editId="6750EAE5">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812439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F1696E">
                          <w:rPr>
                            <w:b/>
                            <w:noProof/>
                          </w:rPr>
                          <w:t>3</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F1696E">
                          <w:rPr>
                            <w:b/>
                            <w:noProof/>
                          </w:rPr>
                          <w:t>3</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73" w:rsidRDefault="00117673" w:rsidP="00033393">
      <w:pPr>
        <w:spacing w:after="0" w:line="240" w:lineRule="auto"/>
      </w:pPr>
      <w:r>
        <w:separator/>
      </w:r>
    </w:p>
  </w:footnote>
  <w:footnote w:type="continuationSeparator" w:id="0">
    <w:p w:rsidR="00117673" w:rsidRDefault="00117673"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73" w:rsidRPr="00033393" w:rsidRDefault="00117673">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2FCAA8E0" wp14:editId="0CBD67AE">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596"/>
    <w:multiLevelType w:val="hybridMultilevel"/>
    <w:tmpl w:val="8738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6559B"/>
    <w:multiLevelType w:val="hybridMultilevel"/>
    <w:tmpl w:val="DD3E4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2B2A70"/>
    <w:multiLevelType w:val="hybridMultilevel"/>
    <w:tmpl w:val="6CF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154F83"/>
    <w:multiLevelType w:val="hybridMultilevel"/>
    <w:tmpl w:val="4330D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B707DC"/>
    <w:multiLevelType w:val="hybridMultilevel"/>
    <w:tmpl w:val="7744D4F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A676F2"/>
    <w:multiLevelType w:val="hybridMultilevel"/>
    <w:tmpl w:val="E5B6F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8952D1"/>
    <w:multiLevelType w:val="hybridMultilevel"/>
    <w:tmpl w:val="C9B00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AC350C"/>
    <w:multiLevelType w:val="hybridMultilevel"/>
    <w:tmpl w:val="79648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1E5B49"/>
    <w:multiLevelType w:val="hybridMultilevel"/>
    <w:tmpl w:val="95403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1E6B37"/>
    <w:multiLevelType w:val="hybridMultilevel"/>
    <w:tmpl w:val="DA16F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8B17B5"/>
    <w:multiLevelType w:val="hybridMultilevel"/>
    <w:tmpl w:val="72B06D24"/>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CC5E45"/>
    <w:multiLevelType w:val="hybridMultilevel"/>
    <w:tmpl w:val="304C5B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75345F"/>
    <w:multiLevelType w:val="hybridMultilevel"/>
    <w:tmpl w:val="DCD0D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2F11BB"/>
    <w:multiLevelType w:val="hybridMultilevel"/>
    <w:tmpl w:val="CD9EB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663776D"/>
    <w:multiLevelType w:val="hybridMultilevel"/>
    <w:tmpl w:val="D3249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596AD8"/>
    <w:multiLevelType w:val="hybridMultilevel"/>
    <w:tmpl w:val="6AB6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E537912"/>
    <w:multiLevelType w:val="hybridMultilevel"/>
    <w:tmpl w:val="ECAAC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9A96ECD"/>
    <w:multiLevelType w:val="hybridMultilevel"/>
    <w:tmpl w:val="F220740A"/>
    <w:lvl w:ilvl="0" w:tplc="946EB43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B57FD9"/>
    <w:multiLevelType w:val="hybridMultilevel"/>
    <w:tmpl w:val="5B0683A8"/>
    <w:lvl w:ilvl="0" w:tplc="3F483782">
      <w:start w:val="1"/>
      <w:numFmt w:val="bullet"/>
      <w:lvlText w:val=""/>
      <w:lvlJc w:val="left"/>
      <w:pPr>
        <w:ind w:left="360" w:hanging="360"/>
      </w:pPr>
      <w:rPr>
        <w:rFonts w:ascii="Symbol" w:hAnsi="Symbol" w:hint="default"/>
        <w:color w:val="auto"/>
      </w:rPr>
    </w:lvl>
    <w:lvl w:ilvl="1" w:tplc="96D8671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0734CE4"/>
    <w:multiLevelType w:val="hybridMultilevel"/>
    <w:tmpl w:val="04CA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47E68E5"/>
    <w:multiLevelType w:val="hybridMultilevel"/>
    <w:tmpl w:val="8C7E6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7537EE"/>
    <w:multiLevelType w:val="hybridMultilevel"/>
    <w:tmpl w:val="CBD40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23"/>
  </w:num>
  <w:num w:numId="4">
    <w:abstractNumId w:val="16"/>
  </w:num>
  <w:num w:numId="5">
    <w:abstractNumId w:val="2"/>
  </w:num>
  <w:num w:numId="6">
    <w:abstractNumId w:val="14"/>
  </w:num>
  <w:num w:numId="7">
    <w:abstractNumId w:val="22"/>
  </w:num>
  <w:num w:numId="8">
    <w:abstractNumId w:val="8"/>
  </w:num>
  <w:num w:numId="9">
    <w:abstractNumId w:val="0"/>
  </w:num>
  <w:num w:numId="10">
    <w:abstractNumId w:val="3"/>
  </w:num>
  <w:num w:numId="11">
    <w:abstractNumId w:val="5"/>
  </w:num>
  <w:num w:numId="12">
    <w:abstractNumId w:val="4"/>
  </w:num>
  <w:num w:numId="13">
    <w:abstractNumId w:val="18"/>
  </w:num>
  <w:num w:numId="14">
    <w:abstractNumId w:val="17"/>
  </w:num>
  <w:num w:numId="15">
    <w:abstractNumId w:val="25"/>
  </w:num>
  <w:num w:numId="16">
    <w:abstractNumId w:val="11"/>
  </w:num>
  <w:num w:numId="17">
    <w:abstractNumId w:val="7"/>
  </w:num>
  <w:num w:numId="18">
    <w:abstractNumId w:val="24"/>
  </w:num>
  <w:num w:numId="19">
    <w:abstractNumId w:val="6"/>
  </w:num>
  <w:num w:numId="20">
    <w:abstractNumId w:val="12"/>
  </w:num>
  <w:num w:numId="21">
    <w:abstractNumId w:val="21"/>
  </w:num>
  <w:num w:numId="22">
    <w:abstractNumId w:val="13"/>
  </w:num>
  <w:num w:numId="23">
    <w:abstractNumId w:val="19"/>
  </w:num>
  <w:num w:numId="24">
    <w:abstractNumId w:val="20"/>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218C2"/>
    <w:rsid w:val="0002797C"/>
    <w:rsid w:val="00033393"/>
    <w:rsid w:val="000725CE"/>
    <w:rsid w:val="000C3A3D"/>
    <w:rsid w:val="00117673"/>
    <w:rsid w:val="001A3F5E"/>
    <w:rsid w:val="00211E64"/>
    <w:rsid w:val="00212E7A"/>
    <w:rsid w:val="00245F46"/>
    <w:rsid w:val="00286918"/>
    <w:rsid w:val="002E473D"/>
    <w:rsid w:val="00327D79"/>
    <w:rsid w:val="003321AB"/>
    <w:rsid w:val="0033388E"/>
    <w:rsid w:val="00366055"/>
    <w:rsid w:val="003C670F"/>
    <w:rsid w:val="003F6D66"/>
    <w:rsid w:val="00440CA7"/>
    <w:rsid w:val="005607D4"/>
    <w:rsid w:val="00616296"/>
    <w:rsid w:val="0069215B"/>
    <w:rsid w:val="007A48C2"/>
    <w:rsid w:val="007A593D"/>
    <w:rsid w:val="007F566C"/>
    <w:rsid w:val="008A2290"/>
    <w:rsid w:val="008B1233"/>
    <w:rsid w:val="00917404"/>
    <w:rsid w:val="009253D5"/>
    <w:rsid w:val="00964157"/>
    <w:rsid w:val="00972763"/>
    <w:rsid w:val="009B5506"/>
    <w:rsid w:val="009D095A"/>
    <w:rsid w:val="009E2B20"/>
    <w:rsid w:val="00A352DD"/>
    <w:rsid w:val="00A6136C"/>
    <w:rsid w:val="00A674E5"/>
    <w:rsid w:val="00A737A7"/>
    <w:rsid w:val="00A92C33"/>
    <w:rsid w:val="00A97B72"/>
    <w:rsid w:val="00AA6976"/>
    <w:rsid w:val="00AB5205"/>
    <w:rsid w:val="00AC6F61"/>
    <w:rsid w:val="00AE4804"/>
    <w:rsid w:val="00B15D2A"/>
    <w:rsid w:val="00B60F2B"/>
    <w:rsid w:val="00BE5446"/>
    <w:rsid w:val="00C02BF3"/>
    <w:rsid w:val="00C20806"/>
    <w:rsid w:val="00C44FE0"/>
    <w:rsid w:val="00CC147C"/>
    <w:rsid w:val="00CD79FC"/>
    <w:rsid w:val="00D90EA2"/>
    <w:rsid w:val="00DB0056"/>
    <w:rsid w:val="00DF36FE"/>
    <w:rsid w:val="00E57C78"/>
    <w:rsid w:val="00E7595A"/>
    <w:rsid w:val="00E961A5"/>
    <w:rsid w:val="00F02619"/>
    <w:rsid w:val="00F029FD"/>
    <w:rsid w:val="00F1696E"/>
    <w:rsid w:val="00F9256E"/>
    <w:rsid w:val="00FB3587"/>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basedOn w:val="DefaultParagraphFont"/>
    <w:uiPriority w:val="99"/>
    <w:semiHidden/>
    <w:unhideWhenUsed/>
    <w:rsid w:val="00CC147C"/>
    <w:rPr>
      <w:sz w:val="16"/>
      <w:szCs w:val="16"/>
    </w:rPr>
  </w:style>
  <w:style w:type="paragraph" w:styleId="CommentText">
    <w:name w:val="annotation text"/>
    <w:basedOn w:val="Normal"/>
    <w:link w:val="CommentTextChar"/>
    <w:uiPriority w:val="99"/>
    <w:semiHidden/>
    <w:unhideWhenUsed/>
    <w:rsid w:val="00CC147C"/>
    <w:pPr>
      <w:spacing w:line="240" w:lineRule="auto"/>
    </w:pPr>
    <w:rPr>
      <w:sz w:val="20"/>
      <w:szCs w:val="20"/>
    </w:rPr>
  </w:style>
  <w:style w:type="character" w:customStyle="1" w:styleId="CommentTextChar">
    <w:name w:val="Comment Text Char"/>
    <w:basedOn w:val="DefaultParagraphFont"/>
    <w:link w:val="CommentText"/>
    <w:uiPriority w:val="99"/>
    <w:semiHidden/>
    <w:rsid w:val="00CC147C"/>
    <w:rPr>
      <w:sz w:val="20"/>
      <w:szCs w:val="20"/>
    </w:rPr>
  </w:style>
  <w:style w:type="paragraph" w:styleId="CommentSubject">
    <w:name w:val="annotation subject"/>
    <w:basedOn w:val="CommentText"/>
    <w:next w:val="CommentText"/>
    <w:link w:val="CommentSubjectChar"/>
    <w:uiPriority w:val="99"/>
    <w:semiHidden/>
    <w:unhideWhenUsed/>
    <w:rsid w:val="00CC147C"/>
    <w:rPr>
      <w:b/>
      <w:bCs/>
    </w:rPr>
  </w:style>
  <w:style w:type="character" w:customStyle="1" w:styleId="CommentSubjectChar">
    <w:name w:val="Comment Subject Char"/>
    <w:basedOn w:val="CommentTextChar"/>
    <w:link w:val="CommentSubject"/>
    <w:uiPriority w:val="99"/>
    <w:semiHidden/>
    <w:rsid w:val="00CC14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basedOn w:val="DefaultParagraphFont"/>
    <w:uiPriority w:val="99"/>
    <w:semiHidden/>
    <w:unhideWhenUsed/>
    <w:rsid w:val="00CC147C"/>
    <w:rPr>
      <w:sz w:val="16"/>
      <w:szCs w:val="16"/>
    </w:rPr>
  </w:style>
  <w:style w:type="paragraph" w:styleId="CommentText">
    <w:name w:val="annotation text"/>
    <w:basedOn w:val="Normal"/>
    <w:link w:val="CommentTextChar"/>
    <w:uiPriority w:val="99"/>
    <w:semiHidden/>
    <w:unhideWhenUsed/>
    <w:rsid w:val="00CC147C"/>
    <w:pPr>
      <w:spacing w:line="240" w:lineRule="auto"/>
    </w:pPr>
    <w:rPr>
      <w:sz w:val="20"/>
      <w:szCs w:val="20"/>
    </w:rPr>
  </w:style>
  <w:style w:type="character" w:customStyle="1" w:styleId="CommentTextChar">
    <w:name w:val="Comment Text Char"/>
    <w:basedOn w:val="DefaultParagraphFont"/>
    <w:link w:val="CommentText"/>
    <w:uiPriority w:val="99"/>
    <w:semiHidden/>
    <w:rsid w:val="00CC147C"/>
    <w:rPr>
      <w:sz w:val="20"/>
      <w:szCs w:val="20"/>
    </w:rPr>
  </w:style>
  <w:style w:type="paragraph" w:styleId="CommentSubject">
    <w:name w:val="annotation subject"/>
    <w:basedOn w:val="CommentText"/>
    <w:next w:val="CommentText"/>
    <w:link w:val="CommentSubjectChar"/>
    <w:uiPriority w:val="99"/>
    <w:semiHidden/>
    <w:unhideWhenUsed/>
    <w:rsid w:val="00CC147C"/>
    <w:rPr>
      <w:b/>
      <w:bCs/>
    </w:rPr>
  </w:style>
  <w:style w:type="character" w:customStyle="1" w:styleId="CommentSubjectChar">
    <w:name w:val="Comment Subject Char"/>
    <w:basedOn w:val="CommentTextChar"/>
    <w:link w:val="CommentSubject"/>
    <w:uiPriority w:val="99"/>
    <w:semiHidden/>
    <w:rsid w:val="00CC14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gov.uk/government/publications/waste-acceptance-at-landfills" TargetMode="External"/><Relationship Id="rId26" Type="http://schemas.openxmlformats.org/officeDocument/2006/relationships/hyperlink" Target="https://www.gov.uk/government/collections/standard-rules-environmental-permitting" TargetMode="External"/><Relationship Id="rId39" Type="http://schemas.openxmlformats.org/officeDocument/2006/relationships/hyperlink" Target="http://www.hse.gov.uk/health-surveillance/requirement/index.htm" TargetMode="External"/><Relationship Id="rId3" Type="http://schemas.openxmlformats.org/officeDocument/2006/relationships/styles" Target="styles.xml"/><Relationship Id="rId21" Type="http://schemas.openxmlformats.org/officeDocument/2006/relationships/hyperlink" Target="https://webarchive.nationalarchives.gov.uk/20140328090410/http:/cdn.environment-agency.gov.uk/geho0612bwph-e-e.pdf" TargetMode="External"/><Relationship Id="rId34" Type="http://schemas.openxmlformats.org/officeDocument/2006/relationships/hyperlink" Target="http://www.hse.gov.uk/pubns/waste21.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www.gov.uk/government/uploads/system/uploads/attachment_data/file/69403/pb13530-waste-hierarchy-guidance.pdf" TargetMode="External"/><Relationship Id="rId25" Type="http://schemas.openxmlformats.org/officeDocument/2006/relationships/hyperlink" Target="https://gov.wales/topics/environmentcountryside/epq/waste_recycling/publication/waste-duty-of-care-code-of-practice/?lang=en" TargetMode="External"/><Relationship Id="rId33" Type="http://schemas.openxmlformats.org/officeDocument/2006/relationships/hyperlink" Target="http://www.hse.gov.uk/pubns/indg345.pdf" TargetMode="External"/><Relationship Id="rId38" Type="http://schemas.openxmlformats.org/officeDocument/2006/relationships/hyperlink" Target="http://www.hse.gov.uk/waste/checklist.htm"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427077/LIT_10121.pdf" TargetMode="External"/><Relationship Id="rId20" Type="http://schemas.openxmlformats.org/officeDocument/2006/relationships/hyperlink" Target="https://cdn.naturalresources.wales/media/2110/how-to-comply-with-your-environmental-permit.pdf?mode=pad&amp;rnd=131467604540000000" TargetMode="External"/><Relationship Id="rId29" Type="http://schemas.openxmlformats.org/officeDocument/2006/relationships/hyperlink" Target="http://a0768b4a8a31e106d8b0-50dc802554eb38a24458b98ff72d550b.r19.cf3.rackcdn.com/pmho0811bucr-e-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assets.publishing.service.gov.uk/government/uploads/system/uploads/attachment_data/file/759083/waste-code-practice-2018.pdf" TargetMode="External"/><Relationship Id="rId32" Type="http://schemas.openxmlformats.org/officeDocument/2006/relationships/hyperlink" Target="https://www.gov.uk/guidance/control-and-monitor-emissions-for-your-environmental-permit" TargetMode="External"/><Relationship Id="rId37" Type="http://schemas.openxmlformats.org/officeDocument/2006/relationships/hyperlink" Target="http://www.hse.gov.uk/construction/lwit/assets/downloads/hierarchy-risk-controls.pdf" TargetMode="External"/><Relationship Id="rId40" Type="http://schemas.openxmlformats.org/officeDocument/2006/relationships/hyperlink" Target="https://wamitab.org.uk/competence/continuing-competence/test-score-calculator/"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gov.uk/guidance/hazardous-waste-rejected-loads-supplementary-guidance" TargetMode="External"/><Relationship Id="rId28" Type="http://schemas.openxmlformats.org/officeDocument/2006/relationships/hyperlink" Target="http://webarchive.nationalarchives.gov.uk/20120919132719/http:/www.communities.gov.uk/documents/planningandbuilding/pdf/permeablesufacesreport.pdf" TargetMode="External"/><Relationship Id="rId36" Type="http://schemas.openxmlformats.org/officeDocument/2006/relationships/hyperlink" Target="https://www.gov.uk/guidance/develop-a-management-system-environmental-permits" TargetMode="External"/><Relationship Id="rId10" Type="http://schemas.openxmlformats.org/officeDocument/2006/relationships/diagramLayout" Target="diagrams/layout1.xml"/><Relationship Id="rId19" Type="http://schemas.openxmlformats.org/officeDocument/2006/relationships/hyperlink" Target="https://www.gov.uk/how-to-classify-different-types-of-waste" TargetMode="External"/><Relationship Id="rId31" Type="http://schemas.openxmlformats.org/officeDocument/2006/relationships/hyperlink" Target="https://cdn.naturalresources.wales/media/684379/guidance-note-16-fire-prevention-mitigation-plan-english.pdf?mode=pad&amp;rnd=131654969480000000"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https://cdn.naturalresources.wales/media/2110/how-to-comply-with-your-environmental-permit.pdf?mode=pad&amp;rnd=131467604540000000" TargetMode="External"/><Relationship Id="rId27" Type="http://schemas.openxmlformats.org/officeDocument/2006/relationships/hyperlink" Target="https://www.gov.uk/government/uploads/system/uploads/attachment_data/file/496261/withdrawn_How_to_comply_-_LIT_7123.pdf" TargetMode="External"/><Relationship Id="rId30" Type="http://schemas.openxmlformats.org/officeDocument/2006/relationships/hyperlink" Target="https://www.gov.uk/government/publications/fire-prevention-plans-environmental-permits" TargetMode="External"/><Relationship Id="rId35" Type="http://schemas.openxmlformats.org/officeDocument/2006/relationships/hyperlink" Target="http://www.hse.gov.uk/pubns/indg345.pdf"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44F3EB-574E-4747-9162-F61883AA3A27}" type="doc">
      <dgm:prSet loTypeId="urn:microsoft.com/office/officeart/2005/8/layout/pyramid3" loCatId="pyramid" qsTypeId="urn:microsoft.com/office/officeart/2005/8/quickstyle/simple4" qsCatId="simple" csTypeId="urn:microsoft.com/office/officeart/2005/8/colors/colorful5" csCatId="colorful" phldr="1"/>
      <dgm:spPr/>
    </dgm:pt>
    <dgm:pt modelId="{28A702F9-8B50-417B-A0EC-7EBF6F51DD78}">
      <dgm:prSet phldrT="[Text]"/>
      <dgm:spPr/>
      <dgm:t>
        <a:bodyPr/>
        <a:lstStyle/>
        <a:p>
          <a:r>
            <a:rPr lang="en-GB"/>
            <a:t>Elimination</a:t>
          </a:r>
        </a:p>
      </dgm:t>
    </dgm:pt>
    <dgm:pt modelId="{8BF22B6A-9A03-4BCE-B59A-E413956B4281}" type="parTrans" cxnId="{FB4377E9-A98F-47E3-B50B-7379779CA3AE}">
      <dgm:prSet/>
      <dgm:spPr/>
      <dgm:t>
        <a:bodyPr/>
        <a:lstStyle/>
        <a:p>
          <a:endParaRPr lang="en-GB"/>
        </a:p>
      </dgm:t>
    </dgm:pt>
    <dgm:pt modelId="{26458446-4295-417F-BCE7-C919867E5462}" type="sibTrans" cxnId="{FB4377E9-A98F-47E3-B50B-7379779CA3AE}">
      <dgm:prSet/>
      <dgm:spPr/>
      <dgm:t>
        <a:bodyPr/>
        <a:lstStyle/>
        <a:p>
          <a:endParaRPr lang="en-GB"/>
        </a:p>
      </dgm:t>
    </dgm:pt>
    <dgm:pt modelId="{6EAD3C93-8B50-4AF3-9C7B-939FD405B7A5}">
      <dgm:prSet phldrT="[Text]"/>
      <dgm:spPr/>
      <dgm:t>
        <a:bodyPr/>
        <a:lstStyle/>
        <a:p>
          <a:r>
            <a:rPr lang="en-GB"/>
            <a:t>Administrative Controls</a:t>
          </a:r>
        </a:p>
      </dgm:t>
    </dgm:pt>
    <dgm:pt modelId="{6BCD5CA8-BEA9-4D19-A093-C6519B1EF2B5}" type="parTrans" cxnId="{A6892FDF-C91B-45DB-9312-32F265AC9190}">
      <dgm:prSet/>
      <dgm:spPr/>
      <dgm:t>
        <a:bodyPr/>
        <a:lstStyle/>
        <a:p>
          <a:endParaRPr lang="en-GB"/>
        </a:p>
      </dgm:t>
    </dgm:pt>
    <dgm:pt modelId="{8EE8BC68-D85C-4737-B86E-7ADC04605596}" type="sibTrans" cxnId="{A6892FDF-C91B-45DB-9312-32F265AC9190}">
      <dgm:prSet/>
      <dgm:spPr/>
      <dgm:t>
        <a:bodyPr/>
        <a:lstStyle/>
        <a:p>
          <a:endParaRPr lang="en-GB"/>
        </a:p>
      </dgm:t>
    </dgm:pt>
    <dgm:pt modelId="{0917D690-F4A2-4753-BA58-B6DD9262A41F}">
      <dgm:prSet phldrT="[Text]"/>
      <dgm:spPr/>
      <dgm:t>
        <a:bodyPr/>
        <a:lstStyle/>
        <a:p>
          <a:r>
            <a:rPr lang="en-GB"/>
            <a:t>Personal Protective Equipment (PPE)</a:t>
          </a:r>
        </a:p>
      </dgm:t>
    </dgm:pt>
    <dgm:pt modelId="{67A0AA71-AFFD-4547-A445-9B220FC80121}" type="parTrans" cxnId="{9BF9C9C1-E88C-41A1-8F36-930CE91D57AA}">
      <dgm:prSet/>
      <dgm:spPr/>
      <dgm:t>
        <a:bodyPr/>
        <a:lstStyle/>
        <a:p>
          <a:endParaRPr lang="en-GB"/>
        </a:p>
      </dgm:t>
    </dgm:pt>
    <dgm:pt modelId="{2FACAD42-0A15-4179-9599-9ECB48DF40AD}" type="sibTrans" cxnId="{9BF9C9C1-E88C-41A1-8F36-930CE91D57AA}">
      <dgm:prSet/>
      <dgm:spPr/>
      <dgm:t>
        <a:bodyPr/>
        <a:lstStyle/>
        <a:p>
          <a:endParaRPr lang="en-GB"/>
        </a:p>
      </dgm:t>
    </dgm:pt>
    <dgm:pt modelId="{DA61CD55-F716-4420-9604-D5A53FA790EC}">
      <dgm:prSet/>
      <dgm:spPr/>
      <dgm:t>
        <a:bodyPr/>
        <a:lstStyle/>
        <a:p>
          <a:r>
            <a:rPr lang="en-GB"/>
            <a:t>Substitution</a:t>
          </a:r>
        </a:p>
      </dgm:t>
    </dgm:pt>
    <dgm:pt modelId="{FBA4B17C-FD50-4C7B-B900-306B57FFB7DE}" type="parTrans" cxnId="{D79998CD-DB9F-46A7-9A7E-F2C8A28C69EA}">
      <dgm:prSet/>
      <dgm:spPr/>
      <dgm:t>
        <a:bodyPr/>
        <a:lstStyle/>
        <a:p>
          <a:endParaRPr lang="en-GB"/>
        </a:p>
      </dgm:t>
    </dgm:pt>
    <dgm:pt modelId="{E9AF99B3-9ED3-44CD-A7E9-D113AB49AE3D}" type="sibTrans" cxnId="{D79998CD-DB9F-46A7-9A7E-F2C8A28C69EA}">
      <dgm:prSet/>
      <dgm:spPr/>
      <dgm:t>
        <a:bodyPr/>
        <a:lstStyle/>
        <a:p>
          <a:endParaRPr lang="en-GB"/>
        </a:p>
      </dgm:t>
    </dgm:pt>
    <dgm:pt modelId="{3E60FEB9-8F8C-41A3-A444-524D802D4C8D}">
      <dgm:prSet/>
      <dgm:spPr/>
      <dgm:t>
        <a:bodyPr/>
        <a:lstStyle/>
        <a:p>
          <a:r>
            <a:rPr lang="en-GB"/>
            <a:t>Engineering Controls</a:t>
          </a:r>
        </a:p>
      </dgm:t>
    </dgm:pt>
    <dgm:pt modelId="{1C27401E-01D8-4A48-B86D-722CCA96A4C1}" type="parTrans" cxnId="{C6A4D3B1-1645-4E46-90F1-3AA3C3C7917A}">
      <dgm:prSet/>
      <dgm:spPr/>
      <dgm:t>
        <a:bodyPr/>
        <a:lstStyle/>
        <a:p>
          <a:endParaRPr lang="en-GB"/>
        </a:p>
      </dgm:t>
    </dgm:pt>
    <dgm:pt modelId="{277628DB-F6E8-40A3-B48D-08E47819A2AA}" type="sibTrans" cxnId="{C6A4D3B1-1645-4E46-90F1-3AA3C3C7917A}">
      <dgm:prSet/>
      <dgm:spPr/>
      <dgm:t>
        <a:bodyPr/>
        <a:lstStyle/>
        <a:p>
          <a:endParaRPr lang="en-GB"/>
        </a:p>
      </dgm:t>
    </dgm:pt>
    <dgm:pt modelId="{7749E12F-75C0-40BA-AD9A-6D9E40658F8F}" type="pres">
      <dgm:prSet presAssocID="{5244F3EB-574E-4747-9162-F61883AA3A27}" presName="Name0" presStyleCnt="0">
        <dgm:presLayoutVars>
          <dgm:dir/>
          <dgm:animLvl val="lvl"/>
          <dgm:resizeHandles val="exact"/>
        </dgm:presLayoutVars>
      </dgm:prSet>
      <dgm:spPr/>
    </dgm:pt>
    <dgm:pt modelId="{705643F2-D72B-4E38-AD1C-72FD1D713DA8}" type="pres">
      <dgm:prSet presAssocID="{28A702F9-8B50-417B-A0EC-7EBF6F51DD78}" presName="Name8" presStyleCnt="0"/>
      <dgm:spPr/>
    </dgm:pt>
    <dgm:pt modelId="{A5B174C1-9479-4881-88D7-012CD8C913EC}" type="pres">
      <dgm:prSet presAssocID="{28A702F9-8B50-417B-A0EC-7EBF6F51DD78}" presName="level" presStyleLbl="node1" presStyleIdx="0" presStyleCnt="5">
        <dgm:presLayoutVars>
          <dgm:chMax val="1"/>
          <dgm:bulletEnabled val="1"/>
        </dgm:presLayoutVars>
      </dgm:prSet>
      <dgm:spPr/>
      <dgm:t>
        <a:bodyPr/>
        <a:lstStyle/>
        <a:p>
          <a:endParaRPr lang="en-GB"/>
        </a:p>
      </dgm:t>
    </dgm:pt>
    <dgm:pt modelId="{05E744CA-8A7F-43C5-8FFA-3A4C31B37283}" type="pres">
      <dgm:prSet presAssocID="{28A702F9-8B50-417B-A0EC-7EBF6F51DD78}" presName="levelTx" presStyleLbl="revTx" presStyleIdx="0" presStyleCnt="0">
        <dgm:presLayoutVars>
          <dgm:chMax val="1"/>
          <dgm:bulletEnabled val="1"/>
        </dgm:presLayoutVars>
      </dgm:prSet>
      <dgm:spPr/>
      <dgm:t>
        <a:bodyPr/>
        <a:lstStyle/>
        <a:p>
          <a:endParaRPr lang="en-GB"/>
        </a:p>
      </dgm:t>
    </dgm:pt>
    <dgm:pt modelId="{F50A9AC8-75EC-4CE0-A945-BF27262F48F5}" type="pres">
      <dgm:prSet presAssocID="{DA61CD55-F716-4420-9604-D5A53FA790EC}" presName="Name8" presStyleCnt="0"/>
      <dgm:spPr/>
    </dgm:pt>
    <dgm:pt modelId="{DE994910-8A49-4C85-B6E9-865147B2B67B}" type="pres">
      <dgm:prSet presAssocID="{DA61CD55-F716-4420-9604-D5A53FA790EC}" presName="level" presStyleLbl="node1" presStyleIdx="1" presStyleCnt="5">
        <dgm:presLayoutVars>
          <dgm:chMax val="1"/>
          <dgm:bulletEnabled val="1"/>
        </dgm:presLayoutVars>
      </dgm:prSet>
      <dgm:spPr/>
      <dgm:t>
        <a:bodyPr/>
        <a:lstStyle/>
        <a:p>
          <a:endParaRPr lang="en-GB"/>
        </a:p>
      </dgm:t>
    </dgm:pt>
    <dgm:pt modelId="{6A8E6741-3130-4E07-B7B7-D159B2DFDB5F}" type="pres">
      <dgm:prSet presAssocID="{DA61CD55-F716-4420-9604-D5A53FA790EC}" presName="levelTx" presStyleLbl="revTx" presStyleIdx="0" presStyleCnt="0">
        <dgm:presLayoutVars>
          <dgm:chMax val="1"/>
          <dgm:bulletEnabled val="1"/>
        </dgm:presLayoutVars>
      </dgm:prSet>
      <dgm:spPr/>
      <dgm:t>
        <a:bodyPr/>
        <a:lstStyle/>
        <a:p>
          <a:endParaRPr lang="en-GB"/>
        </a:p>
      </dgm:t>
    </dgm:pt>
    <dgm:pt modelId="{1B2BA615-B971-4DF9-8059-5352D20F7DAA}" type="pres">
      <dgm:prSet presAssocID="{3E60FEB9-8F8C-41A3-A444-524D802D4C8D}" presName="Name8" presStyleCnt="0"/>
      <dgm:spPr/>
    </dgm:pt>
    <dgm:pt modelId="{1A4790DE-897A-4FD6-A6DE-883CCC2EF48E}" type="pres">
      <dgm:prSet presAssocID="{3E60FEB9-8F8C-41A3-A444-524D802D4C8D}" presName="level" presStyleLbl="node1" presStyleIdx="2" presStyleCnt="5">
        <dgm:presLayoutVars>
          <dgm:chMax val="1"/>
          <dgm:bulletEnabled val="1"/>
        </dgm:presLayoutVars>
      </dgm:prSet>
      <dgm:spPr/>
      <dgm:t>
        <a:bodyPr/>
        <a:lstStyle/>
        <a:p>
          <a:endParaRPr lang="en-GB"/>
        </a:p>
      </dgm:t>
    </dgm:pt>
    <dgm:pt modelId="{C574E17E-C652-40C4-8939-0ECCE6A56581}" type="pres">
      <dgm:prSet presAssocID="{3E60FEB9-8F8C-41A3-A444-524D802D4C8D}" presName="levelTx" presStyleLbl="revTx" presStyleIdx="0" presStyleCnt="0">
        <dgm:presLayoutVars>
          <dgm:chMax val="1"/>
          <dgm:bulletEnabled val="1"/>
        </dgm:presLayoutVars>
      </dgm:prSet>
      <dgm:spPr/>
      <dgm:t>
        <a:bodyPr/>
        <a:lstStyle/>
        <a:p>
          <a:endParaRPr lang="en-GB"/>
        </a:p>
      </dgm:t>
    </dgm:pt>
    <dgm:pt modelId="{D4F5F76E-8F87-4B05-946D-E5F4B37E9D51}" type="pres">
      <dgm:prSet presAssocID="{6EAD3C93-8B50-4AF3-9C7B-939FD405B7A5}" presName="Name8" presStyleCnt="0"/>
      <dgm:spPr/>
    </dgm:pt>
    <dgm:pt modelId="{6C38BF01-0CC9-4C1C-87B2-68A5097E6EDC}" type="pres">
      <dgm:prSet presAssocID="{6EAD3C93-8B50-4AF3-9C7B-939FD405B7A5}" presName="level" presStyleLbl="node1" presStyleIdx="3" presStyleCnt="5">
        <dgm:presLayoutVars>
          <dgm:chMax val="1"/>
          <dgm:bulletEnabled val="1"/>
        </dgm:presLayoutVars>
      </dgm:prSet>
      <dgm:spPr/>
      <dgm:t>
        <a:bodyPr/>
        <a:lstStyle/>
        <a:p>
          <a:endParaRPr lang="en-GB"/>
        </a:p>
      </dgm:t>
    </dgm:pt>
    <dgm:pt modelId="{3C29E93F-0EF3-4A10-9D43-252A47BD8D1B}" type="pres">
      <dgm:prSet presAssocID="{6EAD3C93-8B50-4AF3-9C7B-939FD405B7A5}" presName="levelTx" presStyleLbl="revTx" presStyleIdx="0" presStyleCnt="0">
        <dgm:presLayoutVars>
          <dgm:chMax val="1"/>
          <dgm:bulletEnabled val="1"/>
        </dgm:presLayoutVars>
      </dgm:prSet>
      <dgm:spPr/>
      <dgm:t>
        <a:bodyPr/>
        <a:lstStyle/>
        <a:p>
          <a:endParaRPr lang="en-GB"/>
        </a:p>
      </dgm:t>
    </dgm:pt>
    <dgm:pt modelId="{6047DB5D-3998-43F3-972A-97536204A238}" type="pres">
      <dgm:prSet presAssocID="{0917D690-F4A2-4753-BA58-B6DD9262A41F}" presName="Name8" presStyleCnt="0"/>
      <dgm:spPr/>
    </dgm:pt>
    <dgm:pt modelId="{84D6C262-0A79-4A9F-B587-34C953EFAC5F}" type="pres">
      <dgm:prSet presAssocID="{0917D690-F4A2-4753-BA58-B6DD9262A41F}" presName="level" presStyleLbl="node1" presStyleIdx="4" presStyleCnt="5">
        <dgm:presLayoutVars>
          <dgm:chMax val="1"/>
          <dgm:bulletEnabled val="1"/>
        </dgm:presLayoutVars>
      </dgm:prSet>
      <dgm:spPr/>
      <dgm:t>
        <a:bodyPr/>
        <a:lstStyle/>
        <a:p>
          <a:endParaRPr lang="en-GB"/>
        </a:p>
      </dgm:t>
    </dgm:pt>
    <dgm:pt modelId="{8D6A730F-3F3A-49C6-B4F8-288CA5037BE3}" type="pres">
      <dgm:prSet presAssocID="{0917D690-F4A2-4753-BA58-B6DD9262A41F}" presName="levelTx" presStyleLbl="revTx" presStyleIdx="0" presStyleCnt="0">
        <dgm:presLayoutVars>
          <dgm:chMax val="1"/>
          <dgm:bulletEnabled val="1"/>
        </dgm:presLayoutVars>
      </dgm:prSet>
      <dgm:spPr/>
      <dgm:t>
        <a:bodyPr/>
        <a:lstStyle/>
        <a:p>
          <a:endParaRPr lang="en-GB"/>
        </a:p>
      </dgm:t>
    </dgm:pt>
  </dgm:ptLst>
  <dgm:cxnLst>
    <dgm:cxn modelId="{DF02502D-6FD1-4455-ABDC-355131D7DE4D}" type="presOf" srcId="{DA61CD55-F716-4420-9604-D5A53FA790EC}" destId="{DE994910-8A49-4C85-B6E9-865147B2B67B}" srcOrd="0" destOrd="0" presId="urn:microsoft.com/office/officeart/2005/8/layout/pyramid3"/>
    <dgm:cxn modelId="{1D66DC98-0B56-4CFB-9167-170B91CCC9E6}" type="presOf" srcId="{28A702F9-8B50-417B-A0EC-7EBF6F51DD78}" destId="{05E744CA-8A7F-43C5-8FFA-3A4C31B37283}" srcOrd="1" destOrd="0" presId="urn:microsoft.com/office/officeart/2005/8/layout/pyramid3"/>
    <dgm:cxn modelId="{21832127-0DA6-4F39-A0E6-3DE9906DD9DA}" type="presOf" srcId="{3E60FEB9-8F8C-41A3-A444-524D802D4C8D}" destId="{C574E17E-C652-40C4-8939-0ECCE6A56581}" srcOrd="1" destOrd="0" presId="urn:microsoft.com/office/officeart/2005/8/layout/pyramid3"/>
    <dgm:cxn modelId="{FB4377E9-A98F-47E3-B50B-7379779CA3AE}" srcId="{5244F3EB-574E-4747-9162-F61883AA3A27}" destId="{28A702F9-8B50-417B-A0EC-7EBF6F51DD78}" srcOrd="0" destOrd="0" parTransId="{8BF22B6A-9A03-4BCE-B59A-E413956B4281}" sibTransId="{26458446-4295-417F-BCE7-C919867E5462}"/>
    <dgm:cxn modelId="{3047CB09-9739-47F8-B352-243017FED8B8}" type="presOf" srcId="{0917D690-F4A2-4753-BA58-B6DD9262A41F}" destId="{8D6A730F-3F3A-49C6-B4F8-288CA5037BE3}" srcOrd="1" destOrd="0" presId="urn:microsoft.com/office/officeart/2005/8/layout/pyramid3"/>
    <dgm:cxn modelId="{CE800733-0235-4BEB-B21B-4FD0DBF213EE}" type="presOf" srcId="{3E60FEB9-8F8C-41A3-A444-524D802D4C8D}" destId="{1A4790DE-897A-4FD6-A6DE-883CCC2EF48E}" srcOrd="0" destOrd="0" presId="urn:microsoft.com/office/officeart/2005/8/layout/pyramid3"/>
    <dgm:cxn modelId="{9BF9C9C1-E88C-41A1-8F36-930CE91D57AA}" srcId="{5244F3EB-574E-4747-9162-F61883AA3A27}" destId="{0917D690-F4A2-4753-BA58-B6DD9262A41F}" srcOrd="4" destOrd="0" parTransId="{67A0AA71-AFFD-4547-A445-9B220FC80121}" sibTransId="{2FACAD42-0A15-4179-9599-9ECB48DF40AD}"/>
    <dgm:cxn modelId="{49F9FE4C-C2D5-4443-940F-B07CFE46E99C}" type="presOf" srcId="{5244F3EB-574E-4747-9162-F61883AA3A27}" destId="{7749E12F-75C0-40BA-AD9A-6D9E40658F8F}" srcOrd="0" destOrd="0" presId="urn:microsoft.com/office/officeart/2005/8/layout/pyramid3"/>
    <dgm:cxn modelId="{C6A4D3B1-1645-4E46-90F1-3AA3C3C7917A}" srcId="{5244F3EB-574E-4747-9162-F61883AA3A27}" destId="{3E60FEB9-8F8C-41A3-A444-524D802D4C8D}" srcOrd="2" destOrd="0" parTransId="{1C27401E-01D8-4A48-B86D-722CCA96A4C1}" sibTransId="{277628DB-F6E8-40A3-B48D-08E47819A2AA}"/>
    <dgm:cxn modelId="{A6892FDF-C91B-45DB-9312-32F265AC9190}" srcId="{5244F3EB-574E-4747-9162-F61883AA3A27}" destId="{6EAD3C93-8B50-4AF3-9C7B-939FD405B7A5}" srcOrd="3" destOrd="0" parTransId="{6BCD5CA8-BEA9-4D19-A093-C6519B1EF2B5}" sibTransId="{8EE8BC68-D85C-4737-B86E-7ADC04605596}"/>
    <dgm:cxn modelId="{986B886C-60C3-45A1-80EC-A76AC7D017C6}" type="presOf" srcId="{6EAD3C93-8B50-4AF3-9C7B-939FD405B7A5}" destId="{6C38BF01-0CC9-4C1C-87B2-68A5097E6EDC}" srcOrd="0" destOrd="0" presId="urn:microsoft.com/office/officeart/2005/8/layout/pyramid3"/>
    <dgm:cxn modelId="{44596D63-ADBA-48C8-8FD8-ED4E363F4827}" type="presOf" srcId="{6EAD3C93-8B50-4AF3-9C7B-939FD405B7A5}" destId="{3C29E93F-0EF3-4A10-9D43-252A47BD8D1B}" srcOrd="1" destOrd="0" presId="urn:microsoft.com/office/officeart/2005/8/layout/pyramid3"/>
    <dgm:cxn modelId="{D79998CD-DB9F-46A7-9A7E-F2C8A28C69EA}" srcId="{5244F3EB-574E-4747-9162-F61883AA3A27}" destId="{DA61CD55-F716-4420-9604-D5A53FA790EC}" srcOrd="1" destOrd="0" parTransId="{FBA4B17C-FD50-4C7B-B900-306B57FFB7DE}" sibTransId="{E9AF99B3-9ED3-44CD-A7E9-D113AB49AE3D}"/>
    <dgm:cxn modelId="{41EE0ABC-89CC-49D0-881A-A58DE4A26782}" type="presOf" srcId="{DA61CD55-F716-4420-9604-D5A53FA790EC}" destId="{6A8E6741-3130-4E07-B7B7-D159B2DFDB5F}" srcOrd="1" destOrd="0" presId="urn:microsoft.com/office/officeart/2005/8/layout/pyramid3"/>
    <dgm:cxn modelId="{4890DC34-CE84-4071-B1D5-59F48134773B}" type="presOf" srcId="{28A702F9-8B50-417B-A0EC-7EBF6F51DD78}" destId="{A5B174C1-9479-4881-88D7-012CD8C913EC}" srcOrd="0" destOrd="0" presId="urn:microsoft.com/office/officeart/2005/8/layout/pyramid3"/>
    <dgm:cxn modelId="{0E7F9D2E-F1C6-43BB-AE52-12B785655749}" type="presOf" srcId="{0917D690-F4A2-4753-BA58-B6DD9262A41F}" destId="{84D6C262-0A79-4A9F-B587-34C953EFAC5F}" srcOrd="0" destOrd="0" presId="urn:microsoft.com/office/officeart/2005/8/layout/pyramid3"/>
    <dgm:cxn modelId="{63E635B4-26EF-404B-9F0D-12D3201099CA}" type="presParOf" srcId="{7749E12F-75C0-40BA-AD9A-6D9E40658F8F}" destId="{705643F2-D72B-4E38-AD1C-72FD1D713DA8}" srcOrd="0" destOrd="0" presId="urn:microsoft.com/office/officeart/2005/8/layout/pyramid3"/>
    <dgm:cxn modelId="{E6D49FE2-BC3F-4B70-9CBE-AAF92B9F4498}" type="presParOf" srcId="{705643F2-D72B-4E38-AD1C-72FD1D713DA8}" destId="{A5B174C1-9479-4881-88D7-012CD8C913EC}" srcOrd="0" destOrd="0" presId="urn:microsoft.com/office/officeart/2005/8/layout/pyramid3"/>
    <dgm:cxn modelId="{1C364FD1-0ED7-4B15-A3C0-4FDC1B03B34C}" type="presParOf" srcId="{705643F2-D72B-4E38-AD1C-72FD1D713DA8}" destId="{05E744CA-8A7F-43C5-8FFA-3A4C31B37283}" srcOrd="1" destOrd="0" presId="urn:microsoft.com/office/officeart/2005/8/layout/pyramid3"/>
    <dgm:cxn modelId="{8C687843-DF93-42C5-98BC-041CA88E8BFA}" type="presParOf" srcId="{7749E12F-75C0-40BA-AD9A-6D9E40658F8F}" destId="{F50A9AC8-75EC-4CE0-A945-BF27262F48F5}" srcOrd="1" destOrd="0" presId="urn:microsoft.com/office/officeart/2005/8/layout/pyramid3"/>
    <dgm:cxn modelId="{98B2A6E1-42D6-468E-B9F7-901A60D09E21}" type="presParOf" srcId="{F50A9AC8-75EC-4CE0-A945-BF27262F48F5}" destId="{DE994910-8A49-4C85-B6E9-865147B2B67B}" srcOrd="0" destOrd="0" presId="urn:microsoft.com/office/officeart/2005/8/layout/pyramid3"/>
    <dgm:cxn modelId="{83EE33DB-581B-469D-B7EE-9F46F53370AD}" type="presParOf" srcId="{F50A9AC8-75EC-4CE0-A945-BF27262F48F5}" destId="{6A8E6741-3130-4E07-B7B7-D159B2DFDB5F}" srcOrd="1" destOrd="0" presId="urn:microsoft.com/office/officeart/2005/8/layout/pyramid3"/>
    <dgm:cxn modelId="{06B1401E-AC6D-46F5-97D1-C4A550318BBA}" type="presParOf" srcId="{7749E12F-75C0-40BA-AD9A-6D9E40658F8F}" destId="{1B2BA615-B971-4DF9-8059-5352D20F7DAA}" srcOrd="2" destOrd="0" presId="urn:microsoft.com/office/officeart/2005/8/layout/pyramid3"/>
    <dgm:cxn modelId="{1389892F-B49A-4609-863A-9F57FA481752}" type="presParOf" srcId="{1B2BA615-B971-4DF9-8059-5352D20F7DAA}" destId="{1A4790DE-897A-4FD6-A6DE-883CCC2EF48E}" srcOrd="0" destOrd="0" presId="urn:microsoft.com/office/officeart/2005/8/layout/pyramid3"/>
    <dgm:cxn modelId="{CE43216B-440E-4C2B-A6B1-25D2794677DD}" type="presParOf" srcId="{1B2BA615-B971-4DF9-8059-5352D20F7DAA}" destId="{C574E17E-C652-40C4-8939-0ECCE6A56581}" srcOrd="1" destOrd="0" presId="urn:microsoft.com/office/officeart/2005/8/layout/pyramid3"/>
    <dgm:cxn modelId="{528E6647-E5BF-4455-9F5E-E1F30FB79063}" type="presParOf" srcId="{7749E12F-75C0-40BA-AD9A-6D9E40658F8F}" destId="{D4F5F76E-8F87-4B05-946D-E5F4B37E9D51}" srcOrd="3" destOrd="0" presId="urn:microsoft.com/office/officeart/2005/8/layout/pyramid3"/>
    <dgm:cxn modelId="{9B1D88E7-E6F0-4452-84BE-820DDEBCBF1C}" type="presParOf" srcId="{D4F5F76E-8F87-4B05-946D-E5F4B37E9D51}" destId="{6C38BF01-0CC9-4C1C-87B2-68A5097E6EDC}" srcOrd="0" destOrd="0" presId="urn:microsoft.com/office/officeart/2005/8/layout/pyramid3"/>
    <dgm:cxn modelId="{558696B6-1281-4301-B03B-5D5BAC91636A}" type="presParOf" srcId="{D4F5F76E-8F87-4B05-946D-E5F4B37E9D51}" destId="{3C29E93F-0EF3-4A10-9D43-252A47BD8D1B}" srcOrd="1" destOrd="0" presId="urn:microsoft.com/office/officeart/2005/8/layout/pyramid3"/>
    <dgm:cxn modelId="{87019097-9E20-4CC9-A645-18A4FA47F6FE}" type="presParOf" srcId="{7749E12F-75C0-40BA-AD9A-6D9E40658F8F}" destId="{6047DB5D-3998-43F3-972A-97536204A238}" srcOrd="4" destOrd="0" presId="urn:microsoft.com/office/officeart/2005/8/layout/pyramid3"/>
    <dgm:cxn modelId="{E9E10433-CDD6-485A-88AB-DC7A7A652FE2}" type="presParOf" srcId="{6047DB5D-3998-43F3-972A-97536204A238}" destId="{84D6C262-0A79-4A9F-B587-34C953EFAC5F}" srcOrd="0" destOrd="0" presId="urn:microsoft.com/office/officeart/2005/8/layout/pyramid3"/>
    <dgm:cxn modelId="{8EEA59BE-0D93-4E91-A657-F4EF9784699A}" type="presParOf" srcId="{6047DB5D-3998-43F3-972A-97536204A238}" destId="{8D6A730F-3F3A-49C6-B4F8-288CA5037BE3}"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174C1-9479-4881-88D7-012CD8C913EC}">
      <dsp:nvSpPr>
        <dsp:cNvPr id="0" name=""/>
        <dsp:cNvSpPr/>
      </dsp:nvSpPr>
      <dsp:spPr>
        <a:xfrm rot="10800000">
          <a:off x="0" y="0"/>
          <a:ext cx="3398292" cy="600501"/>
        </a:xfrm>
        <a:prstGeom prst="trapezoid">
          <a:avLst>
            <a:gd name="adj" fmla="val 56591"/>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Elimination</a:t>
          </a:r>
        </a:p>
      </dsp:txBody>
      <dsp:txXfrm rot="-10800000">
        <a:off x="594701" y="0"/>
        <a:ext cx="2208889" cy="600501"/>
      </dsp:txXfrm>
    </dsp:sp>
    <dsp:sp modelId="{DE994910-8A49-4C85-B6E9-865147B2B67B}">
      <dsp:nvSpPr>
        <dsp:cNvPr id="0" name=""/>
        <dsp:cNvSpPr/>
      </dsp:nvSpPr>
      <dsp:spPr>
        <a:xfrm rot="10800000">
          <a:off x="339829" y="600501"/>
          <a:ext cx="2718633" cy="600501"/>
        </a:xfrm>
        <a:prstGeom prst="trapezoid">
          <a:avLst>
            <a:gd name="adj" fmla="val 56591"/>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Substitution</a:t>
          </a:r>
        </a:p>
      </dsp:txBody>
      <dsp:txXfrm rot="-10800000">
        <a:off x="815590" y="600501"/>
        <a:ext cx="1767111" cy="600501"/>
      </dsp:txXfrm>
    </dsp:sp>
    <dsp:sp modelId="{1A4790DE-897A-4FD6-A6DE-883CCC2EF48E}">
      <dsp:nvSpPr>
        <dsp:cNvPr id="0" name=""/>
        <dsp:cNvSpPr/>
      </dsp:nvSpPr>
      <dsp:spPr>
        <a:xfrm rot="10800000">
          <a:off x="679658" y="1201003"/>
          <a:ext cx="2038975" cy="600501"/>
        </a:xfrm>
        <a:prstGeom prst="trapezoid">
          <a:avLst>
            <a:gd name="adj" fmla="val 56591"/>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Engineering Controls</a:t>
          </a:r>
        </a:p>
      </dsp:txBody>
      <dsp:txXfrm rot="-10800000">
        <a:off x="1036479" y="1201003"/>
        <a:ext cx="1325333" cy="600501"/>
      </dsp:txXfrm>
    </dsp:sp>
    <dsp:sp modelId="{6C38BF01-0CC9-4C1C-87B2-68A5097E6EDC}">
      <dsp:nvSpPr>
        <dsp:cNvPr id="0" name=""/>
        <dsp:cNvSpPr/>
      </dsp:nvSpPr>
      <dsp:spPr>
        <a:xfrm rot="10800000">
          <a:off x="1019487" y="1801504"/>
          <a:ext cx="1359316" cy="600501"/>
        </a:xfrm>
        <a:prstGeom prst="trapezoid">
          <a:avLst>
            <a:gd name="adj" fmla="val 56591"/>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Administrative Controls</a:t>
          </a:r>
        </a:p>
      </dsp:txBody>
      <dsp:txXfrm rot="-10800000">
        <a:off x="1257368" y="1801504"/>
        <a:ext cx="883555" cy="600501"/>
      </dsp:txXfrm>
    </dsp:sp>
    <dsp:sp modelId="{84D6C262-0A79-4A9F-B587-34C953EFAC5F}">
      <dsp:nvSpPr>
        <dsp:cNvPr id="0" name=""/>
        <dsp:cNvSpPr/>
      </dsp:nvSpPr>
      <dsp:spPr>
        <a:xfrm rot="10800000">
          <a:off x="1359316" y="2402006"/>
          <a:ext cx="679658" cy="600501"/>
        </a:xfrm>
        <a:prstGeom prst="trapezoid">
          <a:avLst>
            <a:gd name="adj" fmla="val 56591"/>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Personal Protective Equipment (PPE)</a:t>
          </a:r>
        </a:p>
      </dsp:txBody>
      <dsp:txXfrm rot="-10800000">
        <a:off x="1359316" y="2402006"/>
        <a:ext cx="679658" cy="60050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7D799B-F013-43BF-B727-7E6B6723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2019-02-18T16:27:00Z</dcterms:created>
  <dcterms:modified xsi:type="dcterms:W3CDTF">2019-02-18T16:27:00Z</dcterms:modified>
</cp:coreProperties>
</file>